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Borders>
              <w:top w:val="none" w:color="FFFFFF" w:sz="0"/>
              <w:left w:val="none" w:color="FFFFFF" w:sz="0"/>
              <w:bottom w:val="none" w:color="FFFFFF" w:sz="0"/>
              <w:right w:val="none" w:color="FFFFFF" w:sz="0"/>
            </w:tcBorders>
            <w:shd w:fill="243448" w:val="clear"/>
            <w:tcMar>
              <w:top w:type="dxa" w:w="360"/>
              <w:left w:type="dxa" w:w="360"/>
              <w:bottom w:type="dxa" w:w="360"/>
              <w:right w:type="dxa" w:w="360"/>
            </w:tcMar>
          </w:tcPr>
          <w:p>
            <w:pPr>
              <w:jc w:val="left"/>
            </w:pPr>
            <w:r>
              <w:rPr>
                <w:rFonts w:ascii="Arial" w:cs="Arial" w:eastAsia="Arial" w:hAnsi="Arial"/>
                <w:b/>
                <w:bCs/>
                <w:color w:val="1a6fa8"/>
                <w:sz w:val="64"/>
                <w:szCs w:val="64"/>
              </w:rPr>
              <w:t xml:space="preserve">IFRS 18</w:t>
            </w:r>
          </w:p>
          <w:p>
            <w:pPr>
              <w:spacing w:before="60" w:after="40"/>
            </w:pPr>
            <w:r>
              <w:rPr>
                <w:rFonts w:ascii="Arial" w:cs="Arial" w:eastAsia="Arial" w:hAnsi="Arial"/>
                <w:b/>
                <w:bCs/>
                <w:color w:val="FFFFFF"/>
                <w:sz w:val="36"/>
                <w:szCs w:val="36"/>
              </w:rPr>
              <w:t xml:space="preserve">Management Performance Measures</w:t>
            </w:r>
          </w:p>
          <w:p>
            <w:pPr>
              <w:spacing w:before="0" w:after="120"/>
            </w:pPr>
            <w:r>
              <w:rPr>
                <w:rFonts w:ascii="Arial" w:cs="Arial" w:eastAsia="Arial" w:hAnsi="Arial"/>
                <w:color w:val="aec6d8"/>
                <w:sz w:val="28"/>
                <w:szCs w:val="28"/>
              </w:rPr>
              <w:t xml:space="preserve">Identification &amp; Disclosure Guide</w:t>
            </w:r>
          </w:p>
          <w:p>
            <w:pPr>
              <w:spacing w:before="60" w:after="60"/>
            </w:pPr>
            <w:r>
              <w:rPr>
                <w:rFonts w:ascii="Arial" w:cs="Arial" w:eastAsia="Arial" w:hAnsi="Arial"/>
                <w:i/>
                <w:iCs/>
                <w:color w:val="8a9bb0"/>
                <w:sz w:val="20"/>
                <w:szCs w:val="20"/>
              </w:rPr>
              <w:t xml:space="preserve">For accounting firm members advising IFRS reporters</w:t>
            </w:r>
          </w:p>
          <w:p>
            <w:pPr>
              <w:spacing w:before="60" w:after="0"/>
            </w:pPr>
            <w:r>
              <w:rPr>
                <w:rFonts w:ascii="Arial" w:cs="Arial" w:eastAsia="Arial" w:hAnsi="Arial"/>
                <w:color w:val="8a9bb0"/>
                <w:sz w:val="16"/>
                <w:szCs w:val="16"/>
              </w:rPr>
              <w:t xml:space="preserve">Effective 1 January 2027  ·  Abacus Worldwide® Member Resource</w:t>
            </w:r>
          </w:p>
        </w:tc>
      </w:tr>
    </w:tbl>
    <w:p>
      <w:pPr>
        <w:spacing w:before="100" w:after="1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Borders>
              <w:top w:val="none" w:color="FFFFFF" w:sz="0"/>
              <w:left w:val="none" w:color="FFFFFF" w:sz="0"/>
              <w:bottom w:val="none" w:color="FFFFFF" w:sz="0"/>
              <w:right w:val="none" w:color="FFFFFF" w:sz="0"/>
            </w:tcBorders>
            <w:shd w:fill="1a6fa8" w:val="clear"/>
            <w:tcMar>
              <w:top w:type="dxa" w:w="80"/>
              <w:left w:type="dxa" w:w="120"/>
              <w:bottom w:type="dxa" w:w="80"/>
              <w:right w:type="dxa" w:w="120"/>
            </w:tcMar>
          </w:tcPr>
          <w:p>
            <w:r>
              <w:rPr>
                <w:rFonts w:ascii="Arial" w:cs="Arial" w:eastAsia="Arial" w:hAnsi="Arial"/>
                <w:b/>
                <w:bCs/>
                <w:color w:val="FFFFFF"/>
                <w:sz w:val="18"/>
                <w:szCs w:val="18"/>
              </w:rPr>
              <w:t xml:space="preserve">WHAT IS A MANAGEMENT PERFORMANCE MEASURE?</w:t>
            </w:r>
          </w:p>
        </w:tc>
      </w:tr>
    </w:tbl>
    <w:p>
      <w:pPr>
        <w:spacing w:before="100" w:after="100"/>
      </w:pPr>
    </w:p>
    <w:p>
      <w:pPr>
        <w:spacing w:before="60" w:after="120" w:line="276"/>
        <w:ind/>
        <w:jc w:val="left"/>
      </w:pPr>
      <w:r>
        <w:rPr>
          <w:rFonts w:ascii="Arial" w:cs="Arial" w:eastAsia="Arial" w:hAnsi="Arial"/>
          <w:b w:val="false"/>
          <w:bCs w:val="false"/>
          <w:i w:val="false"/>
          <w:iCs w:val="false"/>
          <w:color w:val="1e2d3d"/>
          <w:sz w:val="20"/>
          <w:szCs w:val="20"/>
        </w:rPr>
        <w:t xml:space="preserve">IFRS 18 introduces Management Performance Measures (MPMs) as a formally regulated category of disclosure in the notes to IFRS financial statements. An MPM is a subtotal of income and expenses that management uses in </w:t>
      </w:r>
      <w:r>
        <w:rPr>
          <w:rFonts w:ascii="Arial" w:cs="Arial" w:eastAsia="Arial" w:hAnsi="Arial"/>
          <w:b/>
          <w:bCs/>
          <w:i w:val="false"/>
          <w:iCs w:val="false"/>
          <w:color w:val="1e2d3d"/>
          <w:sz w:val="20"/>
          <w:szCs w:val="20"/>
        </w:rPr>
        <w:t xml:space="preserve">public communications</w:t>
      </w:r>
      <w:r>
        <w:rPr>
          <w:rFonts w:ascii="Arial" w:cs="Arial" w:eastAsia="Arial" w:hAnsi="Arial"/>
          <w:b w:val="false"/>
          <w:bCs w:val="false"/>
          <w:i w:val="false"/>
          <w:iCs w:val="false"/>
          <w:color w:val="1e2d3d"/>
          <w:sz w:val="20"/>
          <w:szCs w:val="20"/>
        </w:rPr>
        <w:t xml:space="preserve"> outside the financial statements to communicate the entity's financial performance, where that subtotal is not specified in IFRS Standards.</w:t>
      </w:r>
    </w:p>
    <w:p>
      <w:pPr>
        <w:spacing w:before="60" w:after="120" w:line="276"/>
        <w:ind/>
        <w:jc w:val="left"/>
      </w:pPr>
      <w:r>
        <w:rPr>
          <w:rFonts w:ascii="Arial" w:cs="Arial" w:eastAsia="Arial" w:hAnsi="Arial"/>
          <w:b w:val="false"/>
          <w:bCs w:val="false"/>
          <w:i w:val="false"/>
          <w:iCs w:val="false"/>
          <w:color w:val="1e2d3d"/>
          <w:sz w:val="20"/>
          <w:szCs w:val="20"/>
        </w:rPr>
        <w:t xml:space="preserve">MPMs must be disclosed in the notes to financial statements with a reconciliation, explanation, and tax/NCI effect. This is a new mandatory requirement — MPMs were previously subject only to non-binding market guidance (ESMA, FRC) and have never before been within audited financial statements.</w:t>
      </w:r>
    </w:p>
    <w:p>
      <w:pPr>
        <w:spacing w:before="100" w:after="1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Borders>
              <w:top w:val="none" w:color="FFFFFF" w:sz="0"/>
              <w:left w:val="none" w:color="FFFFFF" w:sz="0"/>
              <w:bottom w:val="none" w:color="FFFFFF" w:sz="0"/>
              <w:right w:val="none" w:color="FFFFFF" w:sz="0"/>
            </w:tcBorders>
            <w:shd w:fill="32485e" w:val="clear"/>
            <w:tcMar>
              <w:top w:type="dxa" w:w="80"/>
              <w:left w:type="dxa" w:w="120"/>
              <w:bottom w:type="dxa" w:w="80"/>
              <w:right w:type="dxa" w:w="120"/>
            </w:tcMar>
          </w:tcPr>
          <w:p>
            <w:r>
              <w:rPr>
                <w:rFonts w:ascii="Arial" w:cs="Arial" w:eastAsia="Arial" w:hAnsi="Arial"/>
                <w:b/>
                <w:bCs/>
                <w:color w:val="FFFFFF"/>
                <w:sz w:val="18"/>
                <w:szCs w:val="18"/>
              </w:rPr>
              <w:t xml:space="preserve">THE THREE-PART TEST — IS IT AN MPM?</w:t>
            </w:r>
          </w:p>
        </w:tc>
      </w:tr>
    </w:tbl>
    <w:p>
      <w:pPr>
        <w:spacing w:before="100" w:after="1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80"/>
        <w:gridCol w:w="8946"/>
      </w:tblGrid>
      <w:tr>
        <w:tc>
          <w:tcPr>
            <w:tcW w:type="dxa" w:w="80"/>
            <w:tcBorders>
              <w:top w:val="none" w:color="FFFFFF" w:sz="0"/>
              <w:left w:val="none" w:color="FFFFFF" w:sz="0"/>
              <w:bottom w:val="none" w:color="FFFFFF" w:sz="0"/>
              <w:right w:val="none" w:color="FFFFFF" w:sz="0"/>
            </w:tcBorders>
            <w:shd w:fill="1a6fa8" w:val="clear"/>
          </w:tcPr>
          <w:p>
            <w:pPr>
              <w:spacing w:before="60" w:after="120" w:line="276"/>
              <w:ind/>
              <w:jc w:val="left"/>
            </w:pPr>
          </w:p>
        </w:tc>
        <w:tc>
          <w:tcPr>
            <w:tcBorders>
              <w:top w:val="none" w:color="FFFFFF" w:sz="0"/>
              <w:left w:val="none" w:color="FFFFFF" w:sz="0"/>
              <w:bottom w:val="none" w:color="FFFFFF" w:sz="0"/>
              <w:right w:val="none" w:color="FFFFFF" w:sz="0"/>
            </w:tcBorders>
            <w:shd w:fill="e3f0f9" w:val="clear"/>
            <w:tcMar>
              <w:top w:type="dxa" w:w="80"/>
              <w:left w:type="dxa" w:w="120"/>
              <w:bottom w:type="dxa" w:w="80"/>
              <w:right w:type="dxa" w:w="120"/>
            </w:tcMar>
          </w:tcPr>
          <w:p>
            <w:pPr>
              <w:spacing w:before="60" w:after="120" w:line="276"/>
              <w:ind/>
              <w:jc w:val="left"/>
            </w:pPr>
            <w:r>
              <w:rPr>
                <w:rFonts w:ascii="Arial" w:cs="Arial" w:eastAsia="Arial" w:hAnsi="Arial"/>
                <w:b w:val="false"/>
                <w:bCs w:val="false"/>
                <w:i w:val="false"/>
                <w:iCs w:val="false"/>
                <w:color w:val="5a6e82"/>
                <w:sz w:val="20"/>
                <w:szCs w:val="20"/>
              </w:rPr>
              <w:t xml:space="preserve">An MPM exists if ALL THREE of the following apply:
</w:t>
            </w:r>
            <w:r>
              <w:rPr>
                <w:rFonts w:ascii="Arial" w:cs="Arial" w:eastAsia="Arial" w:hAnsi="Arial"/>
                <w:b/>
                <w:bCs/>
                <w:i w:val="false"/>
                <w:iCs w:val="false"/>
                <w:color w:val="5a6e82"/>
                <w:sz w:val="20"/>
                <w:szCs w:val="20"/>
              </w:rPr>
              <w:t xml:space="preserve">1. It is a subtotal of income and expenses</w:t>
            </w:r>
            <w:r>
              <w:rPr>
                <w:rFonts w:ascii="Arial" w:cs="Arial" w:eastAsia="Arial" w:hAnsi="Arial"/>
                <w:b w:val="false"/>
                <w:bCs w:val="false"/>
                <w:i w:val="false"/>
                <w:iCs w:val="false"/>
                <w:color w:val="5a6e82"/>
                <w:sz w:val="20"/>
                <w:szCs w:val="20"/>
              </w:rPr>
              <w:t xml:space="preserve"> — not a ratio (ROCE, ROE), not a per-share measure, not a balance sheet or cash flow measure. It must be a subtotal of line items in the income statement.
</w:t>
            </w:r>
            <w:r>
              <w:rPr>
                <w:rFonts w:ascii="Arial" w:cs="Arial" w:eastAsia="Arial" w:hAnsi="Arial"/>
                <w:b/>
                <w:bCs/>
                <w:i w:val="false"/>
                <w:iCs w:val="false"/>
                <w:color w:val="5a6e82"/>
                <w:sz w:val="20"/>
                <w:szCs w:val="20"/>
              </w:rPr>
              <w:t xml:space="preserve">2. Management uses it in public communications OUTSIDE the financial statements</w:t>
            </w:r>
            <w:r>
              <w:rPr>
                <w:rFonts w:ascii="Arial" w:cs="Arial" w:eastAsia="Arial" w:hAnsi="Arial"/>
                <w:b w:val="false"/>
                <w:bCs w:val="false"/>
                <w:i w:val="false"/>
                <w:iCs w:val="false"/>
                <w:color w:val="5a6e82"/>
                <w:sz w:val="20"/>
                <w:szCs w:val="20"/>
              </w:rPr>
              <w:t xml:space="preserve"> — press releases, investor presentations, annual report narrative sections, earnings calls, analyst guidance, AGM presentations.
</w:t>
            </w:r>
            <w:r>
              <w:rPr>
                <w:rFonts w:ascii="Arial" w:cs="Arial" w:eastAsia="Arial" w:hAnsi="Arial"/>
                <w:b/>
                <w:bCs/>
                <w:i w:val="false"/>
                <w:iCs w:val="false"/>
                <w:color w:val="5a6e82"/>
                <w:sz w:val="20"/>
                <w:szCs w:val="20"/>
              </w:rPr>
              <w:t xml:space="preserve">3. It communicates financial performance</w:t>
            </w:r>
            <w:r>
              <w:rPr>
                <w:rFonts w:ascii="Arial" w:cs="Arial" w:eastAsia="Arial" w:hAnsi="Arial"/>
                <w:b w:val="false"/>
                <w:bCs w:val="false"/>
                <w:i w:val="false"/>
                <w:iCs w:val="false"/>
                <w:color w:val="5a6e82"/>
                <w:sz w:val="20"/>
                <w:szCs w:val="20"/>
              </w:rPr>
              <w:t xml:space="preserve"> (not position or liquidity) and </w:t>
            </w:r>
            <w:r>
              <w:rPr>
                <w:rFonts w:ascii="Arial" w:cs="Arial" w:eastAsia="Arial" w:hAnsi="Arial"/>
                <w:b/>
                <w:bCs/>
                <w:i w:val="false"/>
                <w:iCs w:val="false"/>
                <w:color w:val="5a6e82"/>
                <w:sz w:val="20"/>
                <w:szCs w:val="20"/>
              </w:rPr>
              <w:t xml:space="preserve">is not specified by IFRS</w:t>
            </w:r>
            <w:r>
              <w:rPr>
                <w:rFonts w:ascii="Arial" w:cs="Arial" w:eastAsia="Arial" w:hAnsi="Arial"/>
                <w:b w:val="false"/>
                <w:bCs w:val="false"/>
                <w:i w:val="false"/>
                <w:iCs w:val="false"/>
                <w:color w:val="5a6e82"/>
                <w:sz w:val="20"/>
                <w:szCs w:val="20"/>
              </w:rPr>
              <w:t xml:space="preserve"> — EPS is specified by IAS 33 so it is not an MPM; EBIT and EBITDA are not specified so they can be MPMs.</w:t>
            </w:r>
          </w:p>
        </w:tc>
      </w:tr>
    </w:tbl>
    <w:p>
      <w:pPr>
        <w:spacing w:before="100" w:after="1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Borders>
              <w:top w:val="none" w:color="FFFFFF" w:sz="0"/>
              <w:left w:val="none" w:color="FFFFFF" w:sz="0"/>
              <w:bottom w:val="none" w:color="FFFFFF" w:sz="0"/>
              <w:right w:val="none" w:color="FFFFFF" w:sz="0"/>
            </w:tcBorders>
            <w:shd w:fill="243448" w:val="clear"/>
            <w:tcMar>
              <w:top w:type="dxa" w:w="80"/>
              <w:left w:type="dxa" w:w="120"/>
              <w:bottom w:type="dxa" w:w="80"/>
              <w:right w:type="dxa" w:w="120"/>
            </w:tcMar>
          </w:tcPr>
          <w:p>
            <w:r>
              <w:rPr>
                <w:rFonts w:ascii="Arial" w:cs="Arial" w:eastAsia="Arial" w:hAnsi="Arial"/>
                <w:b/>
                <w:bCs/>
                <w:color w:val="FFFFFF"/>
                <w:sz w:val="18"/>
                <w:szCs w:val="18"/>
              </w:rPr>
              <w:t xml:space="preserve">COMMON EXAMPLES — MPM OR NOT?</w:t>
            </w:r>
          </w:p>
        </w:tc>
      </w:tr>
    </w:tbl>
    <w:p>
      <w:pPr>
        <w:spacing w:before="100" w:after="1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527"/>
        <w:gridCol w:w="1083"/>
        <w:gridCol w:w="5415"/>
      </w:tblGrid>
      <w:tr>
        <w:tc>
          <w:tcPr>
            <w:tcBorders>
              <w:top w:val="single" w:color="e4e8ed" w:sz="1"/>
              <w:left w:val="single" w:color="e4e8ed" w:sz="1"/>
              <w:bottom w:val="single" w:color="e4e8ed" w:sz="1"/>
              <w:right w:val="single" w:color="e4e8ed" w:sz="1"/>
            </w:tcBorders>
            <w:shd w:fill="32485e" w:val="clear"/>
            <w:tcMar>
              <w:top w:type="dxa" w:w="60"/>
              <w:left w:type="dxa" w:w="120"/>
              <w:bottom w:type="dxa" w:w="60"/>
              <w:right w:type="dxa" w:w="120"/>
            </w:tcMar>
          </w:tcPr>
          <w:p>
            <w:r>
              <w:rPr>
                <w:rFonts w:ascii="Arial" w:cs="Arial" w:eastAsia="Arial" w:hAnsi="Arial"/>
                <w:b/>
                <w:bCs/>
                <w:color w:val="FFFFFF"/>
                <w:sz w:val="18"/>
                <w:szCs w:val="18"/>
              </w:rPr>
              <w:t xml:space="preserve">Measure</w:t>
            </w:r>
          </w:p>
        </w:tc>
        <w:tc>
          <w:tcPr>
            <w:tcBorders>
              <w:top w:val="single" w:color="e4e8ed" w:sz="1"/>
              <w:left w:val="single" w:color="e4e8ed" w:sz="1"/>
              <w:bottom w:val="single" w:color="e4e8ed" w:sz="1"/>
              <w:right w:val="single" w:color="e4e8ed" w:sz="1"/>
            </w:tcBorders>
            <w:shd w:fill="32485e" w:val="clear"/>
            <w:tcMar>
              <w:top w:type="dxa" w:w="60"/>
              <w:left w:type="dxa" w:w="120"/>
              <w:bottom w:type="dxa" w:w="60"/>
              <w:right w:type="dxa" w:w="120"/>
            </w:tcMar>
          </w:tcPr>
          <w:p>
            <w:pPr>
              <w:jc w:val="center"/>
            </w:pPr>
            <w:r>
              <w:rPr>
                <w:rFonts w:ascii="Arial" w:cs="Arial" w:eastAsia="Arial" w:hAnsi="Arial"/>
                <w:b/>
                <w:bCs/>
                <w:color w:val="FFFFFF"/>
                <w:sz w:val="18"/>
                <w:szCs w:val="18"/>
              </w:rPr>
              <w:t xml:space="preserve">MPM?</w:t>
            </w:r>
          </w:p>
        </w:tc>
        <w:tc>
          <w:tcPr>
            <w:tcBorders>
              <w:top w:val="single" w:color="e4e8ed" w:sz="1"/>
              <w:left w:val="single" w:color="e4e8ed" w:sz="1"/>
              <w:bottom w:val="single" w:color="e4e8ed" w:sz="1"/>
              <w:right w:val="single" w:color="e4e8ed" w:sz="1"/>
            </w:tcBorders>
            <w:shd w:fill="32485e" w:val="clear"/>
            <w:tcMar>
              <w:top w:type="dxa" w:w="60"/>
              <w:left w:type="dxa" w:w="120"/>
              <w:bottom w:type="dxa" w:w="60"/>
              <w:right w:type="dxa" w:w="120"/>
            </w:tcMar>
          </w:tcPr>
          <w:p>
            <w:r>
              <w:rPr>
                <w:rFonts w:ascii="Arial" w:cs="Arial" w:eastAsia="Arial" w:hAnsi="Arial"/>
                <w:b/>
                <w:bCs/>
                <w:color w:val="FFFFFF"/>
                <w:sz w:val="18"/>
                <w:szCs w:val="18"/>
              </w:rPr>
              <w:t xml:space="preserve">Reason</w:t>
            </w:r>
          </w:p>
        </w:tc>
      </w:tr>
      <w:tr>
        <w:tc>
          <w:tcPr>
            <w:tcBorders>
              <w:top w:val="single" w:color="e4e8ed" w:sz="1"/>
              <w:left w:val="single" w:color="e4e8ed" w:sz="1"/>
              <w:bottom w:val="single" w:color="e4e8ed" w:sz="1"/>
              <w:right w:val="single" w:color="e4e8ed" w:sz="1"/>
            </w:tcBorders>
            <w:shd w:fill="FFFFFF" w:val="clear"/>
            <w:tcMar>
              <w:top w:type="dxa" w:w="60"/>
              <w:left w:type="dxa" w:w="120"/>
              <w:bottom w:type="dxa" w:w="60"/>
              <w:right w:type="dxa" w:w="120"/>
            </w:tcMar>
          </w:tcPr>
          <w:p>
            <w:pPr>
              <w:spacing w:before="0" w:after="0"/>
            </w:pPr>
            <w:r>
              <w:rPr>
                <w:rFonts w:ascii="Arial" w:cs="Arial" w:eastAsia="Arial" w:hAnsi="Arial"/>
                <w:b/>
                <w:bCs/>
                <w:color w:val="32485e"/>
                <w:sz w:val="18"/>
                <w:szCs w:val="18"/>
              </w:rPr>
              <w:t xml:space="preserve">Adjusted EBITDA</w:t>
            </w:r>
          </w:p>
        </w:tc>
        <w:tc>
          <w:tcPr>
            <w:tcBorders>
              <w:top w:val="single" w:color="e4e8ed" w:sz="1"/>
              <w:left w:val="single" w:color="e4e8ed" w:sz="1"/>
              <w:bottom w:val="single" w:color="e4e8ed" w:sz="1"/>
              <w:right w:val="single" w:color="e4e8ed" w:sz="1"/>
            </w:tcBorders>
            <w:shd w:fill="e8f8ea" w:val="clear"/>
            <w:tcMar>
              <w:top w:type="dxa" w:w="60"/>
              <w:left w:type="dxa" w:w="60"/>
              <w:bottom w:type="dxa" w:w="60"/>
              <w:right w:type="dxa" w:w="60"/>
            </w:tcMar>
          </w:tcPr>
          <w:p>
            <w:pPr>
              <w:spacing w:before="0" w:after="0"/>
              <w:jc w:val="center"/>
            </w:pPr>
            <w:r>
              <w:rPr>
                <w:rFonts w:ascii="Arial" w:cs="Arial" w:eastAsia="Arial" w:hAnsi="Arial"/>
                <w:b/>
                <w:bCs/>
                <w:color w:val="2a8c38"/>
                <w:sz w:val="18"/>
                <w:szCs w:val="18"/>
              </w:rPr>
              <w:t xml:space="preserve">YES</w:t>
            </w:r>
          </w:p>
        </w:tc>
        <w:tc>
          <w:tcPr>
            <w:tcBorders>
              <w:top w:val="single" w:color="e4e8ed" w:sz="1"/>
              <w:left w:val="single" w:color="e4e8ed" w:sz="1"/>
              <w:bottom w:val="single" w:color="e4e8ed" w:sz="1"/>
              <w:right w:val="single" w:color="e4e8ed" w:sz="1"/>
            </w:tcBorders>
            <w:shd w:fill="FFFFFF" w:val="clear"/>
            <w:tcMar>
              <w:top w:type="dxa" w:w="60"/>
              <w:left w:type="dxa" w:w="120"/>
              <w:bottom w:type="dxa" w:w="60"/>
              <w:right w:type="dxa" w:w="120"/>
            </w:tcMar>
          </w:tcPr>
          <w:p>
            <w:pPr>
              <w:spacing w:before="60" w:after="120" w:line="276"/>
              <w:ind/>
              <w:jc w:val="left"/>
            </w:pPr>
            <w:r>
              <w:rPr>
                <w:rFonts w:ascii="Arial" w:cs="Arial" w:eastAsia="Arial" w:hAnsi="Arial"/>
                <w:b w:val="false"/>
                <w:bCs w:val="false"/>
                <w:i w:val="false"/>
                <w:iCs w:val="false"/>
                <w:color w:val="5a6e82"/>
                <w:sz w:val="18"/>
                <w:szCs w:val="18"/>
              </w:rPr>
              <w:t xml:space="preserve">P&amp;L subtotal (EBIT less D&amp;A + adjustments), commonly used in press releases. Requires IFRS 18 note disclosure.</w:t>
            </w:r>
          </w:p>
        </w:tc>
      </w:tr>
      <w:tr>
        <w:tc>
          <w:tcPr>
            <w:tcBorders>
              <w:top w:val="single" w:color="e4e8ed" w:sz="1"/>
              <w:left w:val="single" w:color="e4e8ed" w:sz="1"/>
              <w:bottom w:val="single" w:color="e4e8ed" w:sz="1"/>
              <w:right w:val="single" w:color="e4e8ed" w:sz="1"/>
            </w:tcBorders>
            <w:shd w:fill="f7f8fa" w:val="clear"/>
            <w:tcMar>
              <w:top w:type="dxa" w:w="60"/>
              <w:left w:type="dxa" w:w="120"/>
              <w:bottom w:type="dxa" w:w="60"/>
              <w:right w:type="dxa" w:w="120"/>
            </w:tcMar>
          </w:tcPr>
          <w:p>
            <w:pPr>
              <w:spacing w:before="0" w:after="0"/>
            </w:pPr>
            <w:r>
              <w:rPr>
                <w:rFonts w:ascii="Arial" w:cs="Arial" w:eastAsia="Arial" w:hAnsi="Arial"/>
                <w:b/>
                <w:bCs/>
                <w:color w:val="32485e"/>
                <w:sz w:val="18"/>
                <w:szCs w:val="18"/>
              </w:rPr>
              <w:t xml:space="preserve">Adjusted EPS</w:t>
            </w:r>
          </w:p>
        </w:tc>
        <w:tc>
          <w:tcPr>
            <w:tcBorders>
              <w:top w:val="single" w:color="e4e8ed" w:sz="1"/>
              <w:left w:val="single" w:color="e4e8ed" w:sz="1"/>
              <w:bottom w:val="single" w:color="e4e8ed" w:sz="1"/>
              <w:right w:val="single" w:color="e4e8ed" w:sz="1"/>
            </w:tcBorders>
            <w:shd w:fill="e8f8ea" w:val="clear"/>
            <w:tcMar>
              <w:top w:type="dxa" w:w="60"/>
              <w:left w:type="dxa" w:w="60"/>
              <w:bottom w:type="dxa" w:w="60"/>
              <w:right w:type="dxa" w:w="60"/>
            </w:tcMar>
          </w:tcPr>
          <w:p>
            <w:pPr>
              <w:spacing w:before="0" w:after="0"/>
              <w:jc w:val="center"/>
            </w:pPr>
            <w:r>
              <w:rPr>
                <w:rFonts w:ascii="Arial" w:cs="Arial" w:eastAsia="Arial" w:hAnsi="Arial"/>
                <w:b/>
                <w:bCs/>
                <w:color w:val="2a8c38"/>
                <w:sz w:val="18"/>
                <w:szCs w:val="18"/>
              </w:rPr>
              <w:t xml:space="preserve">YES</w:t>
            </w:r>
          </w:p>
        </w:tc>
        <w:tc>
          <w:tcPr>
            <w:tcBorders>
              <w:top w:val="single" w:color="e4e8ed" w:sz="1"/>
              <w:left w:val="single" w:color="e4e8ed" w:sz="1"/>
              <w:bottom w:val="single" w:color="e4e8ed" w:sz="1"/>
              <w:right w:val="single" w:color="e4e8ed" w:sz="1"/>
            </w:tcBorders>
            <w:shd w:fill="f7f8fa" w:val="clear"/>
            <w:tcMar>
              <w:top w:type="dxa" w:w="60"/>
              <w:left w:type="dxa" w:w="120"/>
              <w:bottom w:type="dxa" w:w="60"/>
              <w:right w:type="dxa" w:w="120"/>
            </w:tcMar>
          </w:tcPr>
          <w:p>
            <w:pPr>
              <w:spacing w:before="60" w:after="120" w:line="276"/>
              <w:ind/>
              <w:jc w:val="left"/>
            </w:pPr>
            <w:r>
              <w:rPr>
                <w:rFonts w:ascii="Arial" w:cs="Arial" w:eastAsia="Arial" w:hAnsi="Arial"/>
                <w:b w:val="false"/>
                <w:bCs w:val="false"/>
                <w:i w:val="false"/>
                <w:iCs w:val="false"/>
                <w:color w:val="5a6e82"/>
                <w:sz w:val="18"/>
                <w:szCs w:val="18"/>
              </w:rPr>
              <w:t xml:space="preserve">Subtotal of income/expenses used in investor materials. Note: standard EPS under IAS 33 is not an MPM, but adjusted EPS is.</w:t>
            </w:r>
          </w:p>
        </w:tc>
      </w:tr>
      <w:tr>
        <w:tc>
          <w:tcPr>
            <w:tcBorders>
              <w:top w:val="single" w:color="e4e8ed" w:sz="1"/>
              <w:left w:val="single" w:color="e4e8ed" w:sz="1"/>
              <w:bottom w:val="single" w:color="e4e8ed" w:sz="1"/>
              <w:right w:val="single" w:color="e4e8ed" w:sz="1"/>
            </w:tcBorders>
            <w:shd w:fill="FFFFFF" w:val="clear"/>
            <w:tcMar>
              <w:top w:type="dxa" w:w="60"/>
              <w:left w:type="dxa" w:w="120"/>
              <w:bottom w:type="dxa" w:w="60"/>
              <w:right w:type="dxa" w:w="120"/>
            </w:tcMar>
          </w:tcPr>
          <w:p>
            <w:pPr>
              <w:spacing w:before="0" w:after="0"/>
            </w:pPr>
            <w:r>
              <w:rPr>
                <w:rFonts w:ascii="Arial" w:cs="Arial" w:eastAsia="Arial" w:hAnsi="Arial"/>
                <w:b/>
                <w:bCs/>
                <w:color w:val="32485e"/>
                <w:sz w:val="18"/>
                <w:szCs w:val="18"/>
              </w:rPr>
              <w:t xml:space="preserve">Underlying Operating Profit</w:t>
            </w:r>
          </w:p>
        </w:tc>
        <w:tc>
          <w:tcPr>
            <w:tcBorders>
              <w:top w:val="single" w:color="e4e8ed" w:sz="1"/>
              <w:left w:val="single" w:color="e4e8ed" w:sz="1"/>
              <w:bottom w:val="single" w:color="e4e8ed" w:sz="1"/>
              <w:right w:val="single" w:color="e4e8ed" w:sz="1"/>
            </w:tcBorders>
            <w:shd w:fill="e8f8ea" w:val="clear"/>
            <w:tcMar>
              <w:top w:type="dxa" w:w="60"/>
              <w:left w:type="dxa" w:w="60"/>
              <w:bottom w:type="dxa" w:w="60"/>
              <w:right w:type="dxa" w:w="60"/>
            </w:tcMar>
          </w:tcPr>
          <w:p>
            <w:pPr>
              <w:spacing w:before="0" w:after="0"/>
              <w:jc w:val="center"/>
            </w:pPr>
            <w:r>
              <w:rPr>
                <w:rFonts w:ascii="Arial" w:cs="Arial" w:eastAsia="Arial" w:hAnsi="Arial"/>
                <w:b/>
                <w:bCs/>
                <w:color w:val="2a8c38"/>
                <w:sz w:val="18"/>
                <w:szCs w:val="18"/>
              </w:rPr>
              <w:t xml:space="preserve">YES</w:t>
            </w:r>
          </w:p>
        </w:tc>
        <w:tc>
          <w:tcPr>
            <w:tcBorders>
              <w:top w:val="single" w:color="e4e8ed" w:sz="1"/>
              <w:left w:val="single" w:color="e4e8ed" w:sz="1"/>
              <w:bottom w:val="single" w:color="e4e8ed" w:sz="1"/>
              <w:right w:val="single" w:color="e4e8ed" w:sz="1"/>
            </w:tcBorders>
            <w:shd w:fill="FFFFFF" w:val="clear"/>
            <w:tcMar>
              <w:top w:type="dxa" w:w="60"/>
              <w:left w:type="dxa" w:w="120"/>
              <w:bottom w:type="dxa" w:w="60"/>
              <w:right w:type="dxa" w:w="120"/>
            </w:tcMar>
          </w:tcPr>
          <w:p>
            <w:pPr>
              <w:spacing w:before="60" w:after="120" w:line="276"/>
              <w:ind/>
              <w:jc w:val="left"/>
            </w:pPr>
            <w:r>
              <w:rPr>
                <w:rFonts w:ascii="Arial" w:cs="Arial" w:eastAsia="Arial" w:hAnsi="Arial"/>
                <w:b w:val="false"/>
                <w:bCs w:val="false"/>
                <w:i w:val="false"/>
                <w:iCs w:val="false"/>
                <w:color w:val="5a6e82"/>
                <w:sz w:val="18"/>
                <w:szCs w:val="18"/>
              </w:rPr>
              <w:t xml:space="preserve">Subtotal of income/expenses from main business, excluding "non-underlying" items. Used in results announcements.</w:t>
            </w:r>
          </w:p>
        </w:tc>
      </w:tr>
      <w:tr>
        <w:tc>
          <w:tcPr>
            <w:tcBorders>
              <w:top w:val="single" w:color="e4e8ed" w:sz="1"/>
              <w:left w:val="single" w:color="e4e8ed" w:sz="1"/>
              <w:bottom w:val="single" w:color="e4e8ed" w:sz="1"/>
              <w:right w:val="single" w:color="e4e8ed" w:sz="1"/>
            </w:tcBorders>
            <w:shd w:fill="f7f8fa" w:val="clear"/>
            <w:tcMar>
              <w:top w:type="dxa" w:w="60"/>
              <w:left w:type="dxa" w:w="120"/>
              <w:bottom w:type="dxa" w:w="60"/>
              <w:right w:type="dxa" w:w="120"/>
            </w:tcMar>
          </w:tcPr>
          <w:p>
            <w:pPr>
              <w:spacing w:before="0" w:after="0"/>
            </w:pPr>
            <w:r>
              <w:rPr>
                <w:rFonts w:ascii="Arial" w:cs="Arial" w:eastAsia="Arial" w:hAnsi="Arial"/>
                <w:b/>
                <w:bCs/>
                <w:color w:val="32485e"/>
                <w:sz w:val="18"/>
                <w:szCs w:val="18"/>
              </w:rPr>
              <w:t xml:space="preserve">Core Revenue</w:t>
            </w:r>
          </w:p>
        </w:tc>
        <w:tc>
          <w:tcPr>
            <w:tcBorders>
              <w:top w:val="single" w:color="e4e8ed" w:sz="1"/>
              <w:left w:val="single" w:color="e4e8ed" w:sz="1"/>
              <w:bottom w:val="single" w:color="e4e8ed" w:sz="1"/>
              <w:right w:val="single" w:color="e4e8ed" w:sz="1"/>
            </w:tcBorders>
            <w:shd w:fill="fef0ef" w:val="clear"/>
            <w:tcMar>
              <w:top w:type="dxa" w:w="60"/>
              <w:left w:type="dxa" w:w="60"/>
              <w:bottom w:type="dxa" w:w="60"/>
              <w:right w:type="dxa" w:w="60"/>
            </w:tcMar>
          </w:tcPr>
          <w:p>
            <w:pPr>
              <w:spacing w:before="0" w:after="0"/>
              <w:jc w:val="center"/>
            </w:pPr>
            <w:r>
              <w:rPr>
                <w:rFonts w:ascii="Arial" w:cs="Arial" w:eastAsia="Arial" w:hAnsi="Arial"/>
                <w:b/>
                <w:bCs/>
                <w:color w:val="C0392B"/>
                <w:sz w:val="18"/>
                <w:szCs w:val="18"/>
              </w:rPr>
              <w:t xml:space="preserve">NO</w:t>
            </w:r>
          </w:p>
        </w:tc>
        <w:tc>
          <w:tcPr>
            <w:tcBorders>
              <w:top w:val="single" w:color="e4e8ed" w:sz="1"/>
              <w:left w:val="single" w:color="e4e8ed" w:sz="1"/>
              <w:bottom w:val="single" w:color="e4e8ed" w:sz="1"/>
              <w:right w:val="single" w:color="e4e8ed" w:sz="1"/>
            </w:tcBorders>
            <w:shd w:fill="f7f8fa" w:val="clear"/>
            <w:tcMar>
              <w:top w:type="dxa" w:w="60"/>
              <w:left w:type="dxa" w:w="120"/>
              <w:bottom w:type="dxa" w:w="60"/>
              <w:right w:type="dxa" w:w="120"/>
            </w:tcMar>
          </w:tcPr>
          <w:p>
            <w:pPr>
              <w:spacing w:before="60" w:after="120" w:line="276"/>
              <w:ind/>
              <w:jc w:val="left"/>
            </w:pPr>
            <w:r>
              <w:rPr>
                <w:rFonts w:ascii="Arial" w:cs="Arial" w:eastAsia="Arial" w:hAnsi="Arial"/>
                <w:b w:val="false"/>
                <w:bCs w:val="false"/>
                <w:i w:val="false"/>
                <w:iCs w:val="false"/>
                <w:color w:val="5a6e82"/>
                <w:sz w:val="18"/>
                <w:szCs w:val="18"/>
              </w:rPr>
              <w:t xml:space="preserve">Revenue is not a subtotal — it is the first line item. Adjusted revenue measures are not subtotals of income and expenses.</w:t>
            </w:r>
          </w:p>
        </w:tc>
      </w:tr>
      <w:tr>
        <w:tc>
          <w:tcPr>
            <w:tcBorders>
              <w:top w:val="single" w:color="e4e8ed" w:sz="1"/>
              <w:left w:val="single" w:color="e4e8ed" w:sz="1"/>
              <w:bottom w:val="single" w:color="e4e8ed" w:sz="1"/>
              <w:right w:val="single" w:color="e4e8ed" w:sz="1"/>
            </w:tcBorders>
            <w:shd w:fill="FFFFFF" w:val="clear"/>
            <w:tcMar>
              <w:top w:type="dxa" w:w="60"/>
              <w:left w:type="dxa" w:w="120"/>
              <w:bottom w:type="dxa" w:w="60"/>
              <w:right w:type="dxa" w:w="120"/>
            </w:tcMar>
          </w:tcPr>
          <w:p>
            <w:pPr>
              <w:spacing w:before="0" w:after="0"/>
            </w:pPr>
            <w:r>
              <w:rPr>
                <w:rFonts w:ascii="Arial" w:cs="Arial" w:eastAsia="Arial" w:hAnsi="Arial"/>
                <w:b/>
                <w:bCs/>
                <w:color w:val="32485e"/>
                <w:sz w:val="18"/>
                <w:szCs w:val="18"/>
              </w:rPr>
              <w:t xml:space="preserve">Free Cash Flow</w:t>
            </w:r>
          </w:p>
        </w:tc>
        <w:tc>
          <w:tcPr>
            <w:tcBorders>
              <w:top w:val="single" w:color="e4e8ed" w:sz="1"/>
              <w:left w:val="single" w:color="e4e8ed" w:sz="1"/>
              <w:bottom w:val="single" w:color="e4e8ed" w:sz="1"/>
              <w:right w:val="single" w:color="e4e8ed" w:sz="1"/>
            </w:tcBorders>
            <w:shd w:fill="fef0ef" w:val="clear"/>
            <w:tcMar>
              <w:top w:type="dxa" w:w="60"/>
              <w:left w:type="dxa" w:w="60"/>
              <w:bottom w:type="dxa" w:w="60"/>
              <w:right w:type="dxa" w:w="60"/>
            </w:tcMar>
          </w:tcPr>
          <w:p>
            <w:pPr>
              <w:spacing w:before="0" w:after="0"/>
              <w:jc w:val="center"/>
            </w:pPr>
            <w:r>
              <w:rPr>
                <w:rFonts w:ascii="Arial" w:cs="Arial" w:eastAsia="Arial" w:hAnsi="Arial"/>
                <w:b/>
                <w:bCs/>
                <w:color w:val="C0392B"/>
                <w:sz w:val="18"/>
                <w:szCs w:val="18"/>
              </w:rPr>
              <w:t xml:space="preserve">NO</w:t>
            </w:r>
          </w:p>
        </w:tc>
        <w:tc>
          <w:tcPr>
            <w:tcBorders>
              <w:top w:val="single" w:color="e4e8ed" w:sz="1"/>
              <w:left w:val="single" w:color="e4e8ed" w:sz="1"/>
              <w:bottom w:val="single" w:color="e4e8ed" w:sz="1"/>
              <w:right w:val="single" w:color="e4e8ed" w:sz="1"/>
            </w:tcBorders>
            <w:shd w:fill="FFFFFF" w:val="clear"/>
            <w:tcMar>
              <w:top w:type="dxa" w:w="60"/>
              <w:left w:type="dxa" w:w="120"/>
              <w:bottom w:type="dxa" w:w="60"/>
              <w:right w:type="dxa" w:w="120"/>
            </w:tcMar>
          </w:tcPr>
          <w:p>
            <w:pPr>
              <w:spacing w:before="60" w:after="120" w:line="276"/>
              <w:ind/>
              <w:jc w:val="left"/>
            </w:pPr>
            <w:r>
              <w:rPr>
                <w:rFonts w:ascii="Arial" w:cs="Arial" w:eastAsia="Arial" w:hAnsi="Arial"/>
                <w:b w:val="false"/>
                <w:bCs w:val="false"/>
                <w:i w:val="false"/>
                <w:iCs w:val="false"/>
                <w:color w:val="5a6e82"/>
                <w:sz w:val="18"/>
                <w:szCs w:val="18"/>
              </w:rPr>
              <w:t xml:space="preserve">Cash flow measure, not a P&amp;L subtotal. Falls outside the MPM definition. May be subject to other disclosure requirements.</w:t>
            </w:r>
          </w:p>
        </w:tc>
      </w:tr>
      <w:tr>
        <w:tc>
          <w:tcPr>
            <w:tcBorders>
              <w:top w:val="single" w:color="e4e8ed" w:sz="1"/>
              <w:left w:val="single" w:color="e4e8ed" w:sz="1"/>
              <w:bottom w:val="single" w:color="e4e8ed" w:sz="1"/>
              <w:right w:val="single" w:color="e4e8ed" w:sz="1"/>
            </w:tcBorders>
            <w:shd w:fill="f7f8fa" w:val="clear"/>
            <w:tcMar>
              <w:top w:type="dxa" w:w="60"/>
              <w:left w:type="dxa" w:w="120"/>
              <w:bottom w:type="dxa" w:w="60"/>
              <w:right w:type="dxa" w:w="120"/>
            </w:tcMar>
          </w:tcPr>
          <w:p>
            <w:pPr>
              <w:spacing w:before="0" w:after="0"/>
            </w:pPr>
            <w:r>
              <w:rPr>
                <w:rFonts w:ascii="Arial" w:cs="Arial" w:eastAsia="Arial" w:hAnsi="Arial"/>
                <w:b/>
                <w:bCs/>
                <w:color w:val="32485e"/>
                <w:sz w:val="18"/>
                <w:szCs w:val="18"/>
              </w:rPr>
              <w:t xml:space="preserve">Return on Capital Employed</w:t>
            </w:r>
          </w:p>
        </w:tc>
        <w:tc>
          <w:tcPr>
            <w:tcBorders>
              <w:top w:val="single" w:color="e4e8ed" w:sz="1"/>
              <w:left w:val="single" w:color="e4e8ed" w:sz="1"/>
              <w:bottom w:val="single" w:color="e4e8ed" w:sz="1"/>
              <w:right w:val="single" w:color="e4e8ed" w:sz="1"/>
            </w:tcBorders>
            <w:shd w:fill="fef0ef" w:val="clear"/>
            <w:tcMar>
              <w:top w:type="dxa" w:w="60"/>
              <w:left w:type="dxa" w:w="60"/>
              <w:bottom w:type="dxa" w:w="60"/>
              <w:right w:type="dxa" w:w="60"/>
            </w:tcMar>
          </w:tcPr>
          <w:p>
            <w:pPr>
              <w:spacing w:before="0" w:after="0"/>
              <w:jc w:val="center"/>
            </w:pPr>
            <w:r>
              <w:rPr>
                <w:rFonts w:ascii="Arial" w:cs="Arial" w:eastAsia="Arial" w:hAnsi="Arial"/>
                <w:b/>
                <w:bCs/>
                <w:color w:val="C0392B"/>
                <w:sz w:val="18"/>
                <w:szCs w:val="18"/>
              </w:rPr>
              <w:t xml:space="preserve">NO</w:t>
            </w:r>
          </w:p>
        </w:tc>
        <w:tc>
          <w:tcPr>
            <w:tcBorders>
              <w:top w:val="single" w:color="e4e8ed" w:sz="1"/>
              <w:left w:val="single" w:color="e4e8ed" w:sz="1"/>
              <w:bottom w:val="single" w:color="e4e8ed" w:sz="1"/>
              <w:right w:val="single" w:color="e4e8ed" w:sz="1"/>
            </w:tcBorders>
            <w:shd w:fill="f7f8fa" w:val="clear"/>
            <w:tcMar>
              <w:top w:type="dxa" w:w="60"/>
              <w:left w:type="dxa" w:w="120"/>
              <w:bottom w:type="dxa" w:w="60"/>
              <w:right w:type="dxa" w:w="120"/>
            </w:tcMar>
          </w:tcPr>
          <w:p>
            <w:pPr>
              <w:spacing w:before="60" w:after="120" w:line="276"/>
              <w:ind/>
              <w:jc w:val="left"/>
            </w:pPr>
            <w:r>
              <w:rPr>
                <w:rFonts w:ascii="Arial" w:cs="Arial" w:eastAsia="Arial" w:hAnsi="Arial"/>
                <w:b w:val="false"/>
                <w:bCs w:val="false"/>
                <w:i w:val="false"/>
                <w:iCs w:val="false"/>
                <w:color w:val="5a6e82"/>
                <w:sz w:val="18"/>
                <w:szCs w:val="18"/>
              </w:rPr>
              <w:t xml:space="preserve">A ratio (profit divided by capital). Not a subtotal of income and expenses. Not an MPM.</w:t>
            </w:r>
          </w:p>
        </w:tc>
      </w:tr>
      <w:tr>
        <w:tc>
          <w:tcPr>
            <w:tcBorders>
              <w:top w:val="single" w:color="e4e8ed" w:sz="1"/>
              <w:left w:val="single" w:color="e4e8ed" w:sz="1"/>
              <w:bottom w:val="single" w:color="e4e8ed" w:sz="1"/>
              <w:right w:val="single" w:color="e4e8ed" w:sz="1"/>
            </w:tcBorders>
            <w:shd w:fill="FFFFFF" w:val="clear"/>
            <w:tcMar>
              <w:top w:type="dxa" w:w="60"/>
              <w:left w:type="dxa" w:w="120"/>
              <w:bottom w:type="dxa" w:w="60"/>
              <w:right w:type="dxa" w:w="120"/>
            </w:tcMar>
          </w:tcPr>
          <w:p>
            <w:pPr>
              <w:spacing w:before="0" w:after="0"/>
            </w:pPr>
            <w:r>
              <w:rPr>
                <w:rFonts w:ascii="Arial" w:cs="Arial" w:eastAsia="Arial" w:hAnsi="Arial"/>
                <w:b/>
                <w:bCs/>
                <w:color w:val="32485e"/>
                <w:sz w:val="18"/>
                <w:szCs w:val="18"/>
              </w:rPr>
              <w:t xml:space="preserve">Net Debt</w:t>
            </w:r>
          </w:p>
        </w:tc>
        <w:tc>
          <w:tcPr>
            <w:tcBorders>
              <w:top w:val="single" w:color="e4e8ed" w:sz="1"/>
              <w:left w:val="single" w:color="e4e8ed" w:sz="1"/>
              <w:bottom w:val="single" w:color="e4e8ed" w:sz="1"/>
              <w:right w:val="single" w:color="e4e8ed" w:sz="1"/>
            </w:tcBorders>
            <w:shd w:fill="fef0ef" w:val="clear"/>
            <w:tcMar>
              <w:top w:type="dxa" w:w="60"/>
              <w:left w:type="dxa" w:w="60"/>
              <w:bottom w:type="dxa" w:w="60"/>
              <w:right w:type="dxa" w:w="60"/>
            </w:tcMar>
          </w:tcPr>
          <w:p>
            <w:pPr>
              <w:spacing w:before="0" w:after="0"/>
              <w:jc w:val="center"/>
            </w:pPr>
            <w:r>
              <w:rPr>
                <w:rFonts w:ascii="Arial" w:cs="Arial" w:eastAsia="Arial" w:hAnsi="Arial"/>
                <w:b/>
                <w:bCs/>
                <w:color w:val="C0392B"/>
                <w:sz w:val="18"/>
                <w:szCs w:val="18"/>
              </w:rPr>
              <w:t xml:space="preserve">NO</w:t>
            </w:r>
          </w:p>
        </w:tc>
        <w:tc>
          <w:tcPr>
            <w:tcBorders>
              <w:top w:val="single" w:color="e4e8ed" w:sz="1"/>
              <w:left w:val="single" w:color="e4e8ed" w:sz="1"/>
              <w:bottom w:val="single" w:color="e4e8ed" w:sz="1"/>
              <w:right w:val="single" w:color="e4e8ed" w:sz="1"/>
            </w:tcBorders>
            <w:shd w:fill="FFFFFF" w:val="clear"/>
            <w:tcMar>
              <w:top w:type="dxa" w:w="60"/>
              <w:left w:type="dxa" w:w="120"/>
              <w:bottom w:type="dxa" w:w="60"/>
              <w:right w:type="dxa" w:w="120"/>
            </w:tcMar>
          </w:tcPr>
          <w:p>
            <w:pPr>
              <w:spacing w:before="60" w:after="120" w:line="276"/>
              <w:ind/>
              <w:jc w:val="left"/>
            </w:pPr>
            <w:r>
              <w:rPr>
                <w:rFonts w:ascii="Arial" w:cs="Arial" w:eastAsia="Arial" w:hAnsi="Arial"/>
                <w:b w:val="false"/>
                <w:bCs w:val="false"/>
                <w:i w:val="false"/>
                <w:iCs w:val="false"/>
                <w:color w:val="5a6e82"/>
                <w:sz w:val="18"/>
                <w:szCs w:val="18"/>
              </w:rPr>
              <w:t xml:space="preserve">Balance sheet measure. Not a P&amp;L subtotal. Not an MPM.</w:t>
            </w:r>
          </w:p>
        </w:tc>
      </w:tr>
      <w:tr>
        <w:tc>
          <w:tcPr>
            <w:tcBorders>
              <w:top w:val="single" w:color="e4e8ed" w:sz="1"/>
              <w:left w:val="single" w:color="e4e8ed" w:sz="1"/>
              <w:bottom w:val="single" w:color="e4e8ed" w:sz="1"/>
              <w:right w:val="single" w:color="e4e8ed" w:sz="1"/>
            </w:tcBorders>
            <w:shd w:fill="f7f8fa" w:val="clear"/>
            <w:tcMar>
              <w:top w:type="dxa" w:w="60"/>
              <w:left w:type="dxa" w:w="120"/>
              <w:bottom w:type="dxa" w:w="60"/>
              <w:right w:type="dxa" w:w="120"/>
            </w:tcMar>
          </w:tcPr>
          <w:p>
            <w:pPr>
              <w:spacing w:before="0" w:after="0"/>
            </w:pPr>
            <w:r>
              <w:rPr>
                <w:rFonts w:ascii="Arial" w:cs="Arial" w:eastAsia="Arial" w:hAnsi="Arial"/>
                <w:b/>
                <w:bCs/>
                <w:color w:val="32485e"/>
                <w:sz w:val="18"/>
                <w:szCs w:val="18"/>
              </w:rPr>
              <w:t xml:space="preserve">Like-for-Like Revenue Growth</w:t>
            </w:r>
          </w:p>
        </w:tc>
        <w:tc>
          <w:tcPr>
            <w:tcBorders>
              <w:top w:val="single" w:color="e4e8ed" w:sz="1"/>
              <w:left w:val="single" w:color="e4e8ed" w:sz="1"/>
              <w:bottom w:val="single" w:color="e4e8ed" w:sz="1"/>
              <w:right w:val="single" w:color="e4e8ed" w:sz="1"/>
            </w:tcBorders>
            <w:shd w:fill="fef0ef" w:val="clear"/>
            <w:tcMar>
              <w:top w:type="dxa" w:w="60"/>
              <w:left w:type="dxa" w:w="60"/>
              <w:bottom w:type="dxa" w:w="60"/>
              <w:right w:type="dxa" w:w="60"/>
            </w:tcMar>
          </w:tcPr>
          <w:p>
            <w:pPr>
              <w:spacing w:before="0" w:after="0"/>
              <w:jc w:val="center"/>
            </w:pPr>
            <w:r>
              <w:rPr>
                <w:rFonts w:ascii="Arial" w:cs="Arial" w:eastAsia="Arial" w:hAnsi="Arial"/>
                <w:b/>
                <w:bCs/>
                <w:color w:val="C0392B"/>
                <w:sz w:val="18"/>
                <w:szCs w:val="18"/>
              </w:rPr>
              <w:t xml:space="preserve">NO</w:t>
            </w:r>
          </w:p>
        </w:tc>
        <w:tc>
          <w:tcPr>
            <w:tcBorders>
              <w:top w:val="single" w:color="e4e8ed" w:sz="1"/>
              <w:left w:val="single" w:color="e4e8ed" w:sz="1"/>
              <w:bottom w:val="single" w:color="e4e8ed" w:sz="1"/>
              <w:right w:val="single" w:color="e4e8ed" w:sz="1"/>
            </w:tcBorders>
            <w:shd w:fill="f7f8fa" w:val="clear"/>
            <w:tcMar>
              <w:top w:type="dxa" w:w="60"/>
              <w:left w:type="dxa" w:w="120"/>
              <w:bottom w:type="dxa" w:w="60"/>
              <w:right w:type="dxa" w:w="120"/>
            </w:tcMar>
          </w:tcPr>
          <w:p>
            <w:pPr>
              <w:spacing w:before="60" w:after="120" w:line="276"/>
              <w:ind/>
              <w:jc w:val="left"/>
            </w:pPr>
            <w:r>
              <w:rPr>
                <w:rFonts w:ascii="Arial" w:cs="Arial" w:eastAsia="Arial" w:hAnsi="Arial"/>
                <w:b w:val="false"/>
                <w:bCs w:val="false"/>
                <w:i w:val="false"/>
                <w:iCs w:val="false"/>
                <w:color w:val="5a6e82"/>
                <w:sz w:val="18"/>
                <w:szCs w:val="18"/>
              </w:rPr>
              <w:t xml:space="preserve">A growth rate/ratio. Not a subtotal of income and expenses. Not an MPM.</w:t>
            </w:r>
          </w:p>
        </w:tc>
      </w:tr>
      <w:tr>
        <w:tc>
          <w:tcPr>
            <w:tcBorders>
              <w:top w:val="single" w:color="e4e8ed" w:sz="1"/>
              <w:left w:val="single" w:color="e4e8ed" w:sz="1"/>
              <w:bottom w:val="single" w:color="e4e8ed" w:sz="1"/>
              <w:right w:val="single" w:color="e4e8ed" w:sz="1"/>
            </w:tcBorders>
            <w:shd w:fill="FFFFFF" w:val="clear"/>
            <w:tcMar>
              <w:top w:type="dxa" w:w="60"/>
              <w:left w:type="dxa" w:w="120"/>
              <w:bottom w:type="dxa" w:w="60"/>
              <w:right w:type="dxa" w:w="120"/>
            </w:tcMar>
          </w:tcPr>
          <w:p>
            <w:pPr>
              <w:spacing w:before="0" w:after="0"/>
            </w:pPr>
            <w:r>
              <w:rPr>
                <w:rFonts w:ascii="Arial" w:cs="Arial" w:eastAsia="Arial" w:hAnsi="Arial"/>
                <w:b/>
                <w:bCs/>
                <w:color w:val="32485e"/>
                <w:sz w:val="18"/>
                <w:szCs w:val="18"/>
              </w:rPr>
              <w:t xml:space="preserve">Adjusted EBIT (excl. restructuring)</w:t>
            </w:r>
          </w:p>
        </w:tc>
        <w:tc>
          <w:tcPr>
            <w:tcBorders>
              <w:top w:val="single" w:color="e4e8ed" w:sz="1"/>
              <w:left w:val="single" w:color="e4e8ed" w:sz="1"/>
              <w:bottom w:val="single" w:color="e4e8ed" w:sz="1"/>
              <w:right w:val="single" w:color="e4e8ed" w:sz="1"/>
            </w:tcBorders>
            <w:shd w:fill="e8f8ea" w:val="clear"/>
            <w:tcMar>
              <w:top w:type="dxa" w:w="60"/>
              <w:left w:type="dxa" w:w="60"/>
              <w:bottom w:type="dxa" w:w="60"/>
              <w:right w:type="dxa" w:w="60"/>
            </w:tcMar>
          </w:tcPr>
          <w:p>
            <w:pPr>
              <w:spacing w:before="0" w:after="0"/>
              <w:jc w:val="center"/>
            </w:pPr>
            <w:r>
              <w:rPr>
                <w:rFonts w:ascii="Arial" w:cs="Arial" w:eastAsia="Arial" w:hAnsi="Arial"/>
                <w:b/>
                <w:bCs/>
                <w:color w:val="2a8c38"/>
                <w:sz w:val="18"/>
                <w:szCs w:val="18"/>
              </w:rPr>
              <w:t xml:space="preserve">YES</w:t>
            </w:r>
          </w:p>
        </w:tc>
        <w:tc>
          <w:tcPr>
            <w:tcBorders>
              <w:top w:val="single" w:color="e4e8ed" w:sz="1"/>
              <w:left w:val="single" w:color="e4e8ed" w:sz="1"/>
              <w:bottom w:val="single" w:color="e4e8ed" w:sz="1"/>
              <w:right w:val="single" w:color="e4e8ed" w:sz="1"/>
            </w:tcBorders>
            <w:shd w:fill="FFFFFF" w:val="clear"/>
            <w:tcMar>
              <w:top w:type="dxa" w:w="60"/>
              <w:left w:type="dxa" w:w="120"/>
              <w:bottom w:type="dxa" w:w="60"/>
              <w:right w:type="dxa" w:w="120"/>
            </w:tcMar>
          </w:tcPr>
          <w:p>
            <w:pPr>
              <w:spacing w:before="60" w:after="120" w:line="276"/>
              <w:ind/>
              <w:jc w:val="left"/>
            </w:pPr>
            <w:r>
              <w:rPr>
                <w:rFonts w:ascii="Arial" w:cs="Arial" w:eastAsia="Arial" w:hAnsi="Arial"/>
                <w:b w:val="false"/>
                <w:bCs w:val="false"/>
                <w:i w:val="false"/>
                <w:iCs w:val="false"/>
                <w:color w:val="5a6e82"/>
                <w:sz w:val="18"/>
                <w:szCs w:val="18"/>
              </w:rPr>
              <w:t xml:space="preserve">Subtotal of income/expenses with specific items excluded. Used in investor communications. Requires IFRS 18 note disclosure.</w:t>
            </w:r>
          </w:p>
        </w:tc>
      </w:tr>
      <w:tr>
        <w:tc>
          <w:tcPr>
            <w:tcBorders>
              <w:top w:val="single" w:color="e4e8ed" w:sz="1"/>
              <w:left w:val="single" w:color="e4e8ed" w:sz="1"/>
              <w:bottom w:val="single" w:color="e4e8ed" w:sz="1"/>
              <w:right w:val="single" w:color="e4e8ed" w:sz="1"/>
            </w:tcBorders>
            <w:shd w:fill="f7f8fa" w:val="clear"/>
            <w:tcMar>
              <w:top w:type="dxa" w:w="60"/>
              <w:left w:type="dxa" w:w="120"/>
              <w:bottom w:type="dxa" w:w="60"/>
              <w:right w:type="dxa" w:w="120"/>
            </w:tcMar>
          </w:tcPr>
          <w:p>
            <w:pPr>
              <w:spacing w:before="0" w:after="0"/>
            </w:pPr>
            <w:r>
              <w:rPr>
                <w:rFonts w:ascii="Arial" w:cs="Arial" w:eastAsia="Arial" w:hAnsi="Arial"/>
                <w:b/>
                <w:bCs/>
                <w:color w:val="32485e"/>
                <w:sz w:val="18"/>
                <w:szCs w:val="18"/>
              </w:rPr>
              <w:t xml:space="preserve">Operating Profit (as currently reported)</w:t>
            </w:r>
          </w:p>
        </w:tc>
        <w:tc>
          <w:tcPr>
            <w:tcBorders>
              <w:top w:val="single" w:color="e4e8ed" w:sz="1"/>
              <w:left w:val="single" w:color="e4e8ed" w:sz="1"/>
              <w:bottom w:val="single" w:color="e4e8ed" w:sz="1"/>
              <w:right w:val="single" w:color="e4e8ed" w:sz="1"/>
            </w:tcBorders>
            <w:shd w:fill="fdf0d8" w:val="clear"/>
            <w:tcMar>
              <w:top w:type="dxa" w:w="60"/>
              <w:left w:type="dxa" w:w="60"/>
              <w:bottom w:type="dxa" w:w="60"/>
              <w:right w:type="dxa" w:w="60"/>
            </w:tcMar>
          </w:tcPr>
          <w:p>
            <w:pPr>
              <w:spacing w:before="0" w:after="0"/>
              <w:jc w:val="center"/>
            </w:pPr>
            <w:r>
              <w:rPr>
                <w:rFonts w:ascii="Arial" w:cs="Arial" w:eastAsia="Arial" w:hAnsi="Arial"/>
                <w:b/>
                <w:bCs/>
                <w:color w:val="D4830A"/>
                <w:sz w:val="18"/>
                <w:szCs w:val="18"/>
              </w:rPr>
              <w:t xml:space="preserve">CHECK</w:t>
            </w:r>
          </w:p>
        </w:tc>
        <w:tc>
          <w:tcPr>
            <w:tcBorders>
              <w:top w:val="single" w:color="e4e8ed" w:sz="1"/>
              <w:left w:val="single" w:color="e4e8ed" w:sz="1"/>
              <w:bottom w:val="single" w:color="e4e8ed" w:sz="1"/>
              <w:right w:val="single" w:color="e4e8ed" w:sz="1"/>
            </w:tcBorders>
            <w:shd w:fill="f7f8fa" w:val="clear"/>
            <w:tcMar>
              <w:top w:type="dxa" w:w="60"/>
              <w:left w:type="dxa" w:w="120"/>
              <w:bottom w:type="dxa" w:w="60"/>
              <w:right w:type="dxa" w:w="120"/>
            </w:tcMar>
          </w:tcPr>
          <w:p>
            <w:pPr>
              <w:spacing w:before="60" w:after="120" w:line="276"/>
              <w:ind/>
              <w:jc w:val="left"/>
            </w:pPr>
            <w:r>
              <w:rPr>
                <w:rFonts w:ascii="Arial" w:cs="Arial" w:eastAsia="Arial" w:hAnsi="Arial"/>
                <w:b w:val="false"/>
                <w:bCs w:val="false"/>
                <w:i w:val="false"/>
                <w:iCs w:val="false"/>
                <w:color w:val="5a6e82"/>
                <w:sz w:val="18"/>
                <w:szCs w:val="18"/>
              </w:rPr>
              <w:t xml:space="preserve">If different from the IFRS 18 Operating profit subtotal AND used in public communications — it is an MPM. If it equals IFRS 18 Operating profit — it is not an MPM.</w:t>
            </w:r>
          </w:p>
        </w:tc>
      </w:tr>
    </w:tbl>
    <w:p>
      <w:pPr>
        <w:spacing w:before="100" w:after="1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Borders>
              <w:top w:val="none" w:color="FFFFFF" w:sz="0"/>
              <w:left w:val="none" w:color="FFFFFF" w:sz="0"/>
              <w:bottom w:val="none" w:color="FFFFFF" w:sz="0"/>
              <w:right w:val="none" w:color="FFFFFF" w:sz="0"/>
            </w:tcBorders>
            <w:shd w:fill="1a6fa8" w:val="clear"/>
            <w:tcMar>
              <w:top w:type="dxa" w:w="80"/>
              <w:left w:type="dxa" w:w="120"/>
              <w:bottom w:type="dxa" w:w="80"/>
              <w:right w:type="dxa" w:w="120"/>
            </w:tcMar>
          </w:tcPr>
          <w:p>
            <w:r>
              <w:rPr>
                <w:rFonts w:ascii="Arial" w:cs="Arial" w:eastAsia="Arial" w:hAnsi="Arial"/>
                <w:b/>
                <w:bCs/>
                <w:color w:val="FFFFFF"/>
                <w:sz w:val="18"/>
                <w:szCs w:val="18"/>
              </w:rPr>
              <w:t xml:space="preserve">REQUIRED MPM NOTE DISCLOSURES</w:t>
            </w:r>
          </w:p>
        </w:tc>
      </w:tr>
    </w:tbl>
    <w:p>
      <w:pPr>
        <w:spacing w:before="100" w:after="100"/>
      </w:pPr>
    </w:p>
    <w:p>
      <w:pPr>
        <w:spacing w:before="60" w:after="120" w:line="276"/>
        <w:ind/>
        <w:jc w:val="left"/>
      </w:pPr>
      <w:r>
        <w:rPr>
          <w:rFonts w:ascii="Arial" w:cs="Arial" w:eastAsia="Arial" w:hAnsi="Arial"/>
          <w:b w:val="false"/>
          <w:bCs w:val="false"/>
          <w:i w:val="false"/>
          <w:iCs w:val="false"/>
          <w:color w:val="1e2d3d"/>
          <w:sz w:val="20"/>
          <w:szCs w:val="20"/>
        </w:rPr>
        <w:t xml:space="preserve">For each MPM, IFRS 18 requires a note disclosure containing all of the following elements:</w:t>
      </w:r>
    </w:p>
    <w:p>
      <w:pPr>
        <w:spacing w:before="100" w:after="1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61"/>
        <w:gridCol w:w="2527"/>
        <w:gridCol w:w="6137"/>
      </w:tblGrid>
      <w:tr>
        <w:tc>
          <w:tcPr>
            <w:tcBorders>
              <w:top w:val="none" w:color="FFFFFF" w:sz="0"/>
              <w:left w:val="none" w:color="FFFFFF" w:sz="0"/>
              <w:bottom w:val="none" w:color="FFFFFF" w:sz="0"/>
              <w:right w:val="none" w:color="FFFFFF" w:sz="0"/>
            </w:tcBorders>
            <w:shd w:fill="32485e" w:val="clear"/>
            <w:tcMar>
              <w:top w:type="dxa" w:w="60"/>
              <w:left w:type="dxa" w:w="60"/>
              <w:bottom w:type="dxa" w:w="60"/>
              <w:right w:type="dxa" w:w="60"/>
            </w:tcMar>
          </w:tcPr>
          <w:p>
            <w:pPr>
              <w:spacing w:before="60" w:after="120" w:line="276"/>
              <w:ind/>
              <w:jc w:val="left"/>
            </w:pPr>
          </w:p>
        </w:tc>
        <w:tc>
          <w:tcPr>
            <w:tcBorders>
              <w:top w:val="none" w:color="FFFFFF" w:sz="0"/>
              <w:left w:val="none" w:color="FFFFFF" w:sz="0"/>
              <w:bottom w:val="none" w:color="FFFFFF" w:sz="0"/>
              <w:right w:val="none" w:color="FFFFFF" w:sz="0"/>
            </w:tcBorders>
            <w:shd w:fill="32485e" w:val="clear"/>
            <w:tcMar>
              <w:top w:type="dxa" w:w="60"/>
              <w:left w:type="dxa" w:w="120"/>
              <w:bottom w:type="dxa" w:w="60"/>
              <w:right w:type="dxa" w:w="120"/>
            </w:tcMar>
          </w:tcPr>
          <w:p>
            <w:r>
              <w:rPr>
                <w:rFonts w:ascii="Arial" w:cs="Arial" w:eastAsia="Arial" w:hAnsi="Arial"/>
                <w:b/>
                <w:bCs/>
                <w:color w:val="FFFFFF"/>
                <w:sz w:val="18"/>
                <w:szCs w:val="18"/>
              </w:rPr>
              <w:t xml:space="preserve">Disclosure element</w:t>
            </w:r>
          </w:p>
        </w:tc>
        <w:tc>
          <w:tcPr>
            <w:tcBorders>
              <w:top w:val="none" w:color="FFFFFF" w:sz="0"/>
              <w:left w:val="none" w:color="FFFFFF" w:sz="0"/>
              <w:bottom w:val="none" w:color="FFFFFF" w:sz="0"/>
              <w:right w:val="none" w:color="FFFFFF" w:sz="0"/>
            </w:tcBorders>
            <w:shd w:fill="32485e" w:val="clear"/>
            <w:tcMar>
              <w:top w:type="dxa" w:w="60"/>
              <w:left w:type="dxa" w:w="120"/>
              <w:bottom w:type="dxa" w:w="60"/>
              <w:right w:type="dxa" w:w="120"/>
            </w:tcMar>
          </w:tcPr>
          <w:p>
            <w:r>
              <w:rPr>
                <w:rFonts w:ascii="Arial" w:cs="Arial" w:eastAsia="Arial" w:hAnsi="Arial"/>
                <w:b/>
                <w:bCs/>
                <w:color w:val="FFFFFF"/>
                <w:sz w:val="18"/>
                <w:szCs w:val="18"/>
              </w:rPr>
              <w:t xml:space="preserve">Detail required</w:t>
            </w:r>
          </w:p>
        </w:tc>
      </w:tr>
      <w:tr>
        <w:tc>
          <w:tcPr>
            <w:tcBorders>
              <w:top w:val="none" w:color="FFFFFF" w:sz="0"/>
              <w:left w:val="none" w:color="FFFFFF" w:sz="0"/>
              <w:bottom w:val="none" w:color="FFFFFF" w:sz="0"/>
              <w:right w:val="none" w:color="FFFFFF" w:sz="0"/>
            </w:tcBorders>
            <w:shd w:fill="1a6fa8" w:val="clear"/>
            <w:tcMar>
              <w:top w:type="dxa" w:w="60"/>
              <w:left w:type="dxa" w:w="60"/>
              <w:bottom w:type="dxa" w:w="60"/>
              <w:right w:type="dxa" w:w="60"/>
            </w:tcMar>
          </w:tcPr>
          <w:p>
            <w:pPr>
              <w:jc w:val="center"/>
            </w:pPr>
            <w:r>
              <w:rPr>
                <w:rFonts w:ascii="Arial" w:cs="Arial" w:eastAsia="Arial" w:hAnsi="Arial"/>
                <w:b/>
                <w:bCs/>
                <w:color w:val="FFFFFF"/>
                <w:sz w:val="16"/>
                <w:szCs w:val="16"/>
              </w:rPr>
              <w:t xml:space="preserve">1</w:t>
            </w:r>
          </w:p>
        </w:tc>
        <w:tc>
          <w:tcPr>
            <w:tcBorders>
              <w:top w:val="single" w:color="e4e8ed" w:sz="1"/>
              <w:left w:val="single" w:color="e4e8ed" w:sz="1"/>
              <w:bottom w:val="single" w:color="e4e8ed" w:sz="1"/>
              <w:right w:val="single" w:color="e4e8ed" w:sz="1"/>
            </w:tcBorders>
            <w:shd w:fill="e3f0f9" w:val="clear"/>
            <w:tcMar>
              <w:top w:type="dxa" w:w="60"/>
              <w:left w:type="dxa" w:w="120"/>
              <w:bottom w:type="dxa" w:w="60"/>
              <w:right w:type="dxa" w:w="120"/>
            </w:tcMar>
          </w:tcPr>
          <w:p>
            <w:pPr>
              <w:spacing w:before="0" w:after="0"/>
            </w:pPr>
            <w:r>
              <w:rPr>
                <w:rFonts w:ascii="Arial" w:cs="Arial" w:eastAsia="Arial" w:hAnsi="Arial"/>
                <w:b/>
                <w:bCs/>
                <w:color w:val="32485e"/>
                <w:sz w:val="18"/>
                <w:szCs w:val="18"/>
              </w:rPr>
              <w:t xml:space="preserve">Label and value</w:t>
            </w:r>
          </w:p>
        </w:tc>
        <w:tc>
          <w:tcPr>
            <w:tcBorders>
              <w:top w:val="single" w:color="e4e8ed" w:sz="1"/>
              <w:left w:val="single" w:color="e4e8ed" w:sz="1"/>
              <w:bottom w:val="single" w:color="e4e8ed" w:sz="1"/>
              <w:right w:val="single" w:color="e4e8ed" w:sz="1"/>
            </w:tcBorders>
            <w:shd w:fill="e3f0f9" w:val="clear"/>
            <w:tcMar>
              <w:top w:type="dxa" w:w="60"/>
              <w:left w:type="dxa" w:w="120"/>
              <w:bottom w:type="dxa" w:w="60"/>
              <w:right w:type="dxa" w:w="120"/>
            </w:tcMar>
          </w:tcPr>
          <w:p>
            <w:pPr>
              <w:spacing w:before="60" w:after="120" w:line="276"/>
              <w:ind/>
              <w:jc w:val="left"/>
            </w:pPr>
            <w:r>
              <w:rPr>
                <w:rFonts w:ascii="Arial" w:cs="Arial" w:eastAsia="Arial" w:hAnsi="Arial"/>
                <w:b w:val="false"/>
                <w:bCs w:val="false"/>
                <w:i w:val="false"/>
                <w:iCs w:val="false"/>
                <w:color w:val="5a6e82"/>
                <w:sz w:val="18"/>
                <w:szCs w:val="18"/>
              </w:rPr>
              <w:t xml:space="preserve">The name of the MPM and its value for the current period and prior period.</w:t>
            </w:r>
          </w:p>
        </w:tc>
      </w:tr>
      <w:tr>
        <w:tc>
          <w:tcPr>
            <w:tcBorders>
              <w:top w:val="none" w:color="FFFFFF" w:sz="0"/>
              <w:left w:val="none" w:color="FFFFFF" w:sz="0"/>
              <w:bottom w:val="none" w:color="FFFFFF" w:sz="0"/>
              <w:right w:val="none" w:color="FFFFFF" w:sz="0"/>
            </w:tcBorders>
            <w:shd w:fill="1a6fa8" w:val="clear"/>
            <w:tcMar>
              <w:top w:type="dxa" w:w="60"/>
              <w:left w:type="dxa" w:w="60"/>
              <w:bottom w:type="dxa" w:w="60"/>
              <w:right w:type="dxa" w:w="60"/>
            </w:tcMar>
          </w:tcPr>
          <w:p>
            <w:pPr>
              <w:jc w:val="center"/>
            </w:pPr>
            <w:r>
              <w:rPr>
                <w:rFonts w:ascii="Arial" w:cs="Arial" w:eastAsia="Arial" w:hAnsi="Arial"/>
                <w:b/>
                <w:bCs/>
                <w:color w:val="FFFFFF"/>
                <w:sz w:val="16"/>
                <w:szCs w:val="16"/>
              </w:rPr>
              <w:t xml:space="preserve">2</w:t>
            </w:r>
          </w:p>
        </w:tc>
        <w:tc>
          <w:tcPr>
            <w:tcBorders>
              <w:top w:val="single" w:color="e4e8ed" w:sz="1"/>
              <w:left w:val="single" w:color="e4e8ed" w:sz="1"/>
              <w:bottom w:val="single" w:color="e4e8ed" w:sz="1"/>
              <w:right w:val="single" w:color="e4e8ed" w:sz="1"/>
            </w:tcBorders>
            <w:shd w:fill="FFFFFF" w:val="clear"/>
            <w:tcMar>
              <w:top w:type="dxa" w:w="60"/>
              <w:left w:type="dxa" w:w="120"/>
              <w:bottom w:type="dxa" w:w="60"/>
              <w:right w:type="dxa" w:w="120"/>
            </w:tcMar>
          </w:tcPr>
          <w:p>
            <w:pPr>
              <w:spacing w:before="0" w:after="0"/>
            </w:pPr>
            <w:r>
              <w:rPr>
                <w:rFonts w:ascii="Arial" w:cs="Arial" w:eastAsia="Arial" w:hAnsi="Arial"/>
                <w:b/>
                <w:bCs/>
                <w:color w:val="32485e"/>
                <w:sz w:val="18"/>
                <w:szCs w:val="18"/>
              </w:rPr>
              <w:t xml:space="preserve">Reconciliation</w:t>
            </w:r>
          </w:p>
        </w:tc>
        <w:tc>
          <w:tcPr>
            <w:tcBorders>
              <w:top w:val="single" w:color="e4e8ed" w:sz="1"/>
              <w:left w:val="single" w:color="e4e8ed" w:sz="1"/>
              <w:bottom w:val="single" w:color="e4e8ed" w:sz="1"/>
              <w:right w:val="single" w:color="e4e8ed" w:sz="1"/>
            </w:tcBorders>
            <w:shd w:fill="FFFFFF" w:val="clear"/>
            <w:tcMar>
              <w:top w:type="dxa" w:w="60"/>
              <w:left w:type="dxa" w:w="120"/>
              <w:bottom w:type="dxa" w:w="60"/>
              <w:right w:type="dxa" w:w="120"/>
            </w:tcMar>
          </w:tcPr>
          <w:p>
            <w:pPr>
              <w:spacing w:before="60" w:after="120" w:line="276"/>
              <w:ind/>
              <w:jc w:val="left"/>
            </w:pPr>
            <w:r>
              <w:rPr>
                <w:rFonts w:ascii="Arial" w:cs="Arial" w:eastAsia="Arial" w:hAnsi="Arial"/>
                <w:b w:val="false"/>
                <w:bCs w:val="false"/>
                <w:i w:val="false"/>
                <w:iCs w:val="false"/>
                <w:color w:val="5a6e82"/>
                <w:sz w:val="18"/>
                <w:szCs w:val="18"/>
              </w:rPr>
              <w:t xml:space="preserve">A reconciliation to the most directly comparable IFRS 18-specified subtotal (e.g. Operating profit, or Profit for the period). Each reconciling item must be labelled.</w:t>
            </w:r>
          </w:p>
        </w:tc>
      </w:tr>
      <w:tr>
        <w:tc>
          <w:tcPr>
            <w:tcBorders>
              <w:top w:val="none" w:color="FFFFFF" w:sz="0"/>
              <w:left w:val="none" w:color="FFFFFF" w:sz="0"/>
              <w:bottom w:val="none" w:color="FFFFFF" w:sz="0"/>
              <w:right w:val="none" w:color="FFFFFF" w:sz="0"/>
            </w:tcBorders>
            <w:shd w:fill="1a6fa8" w:val="clear"/>
            <w:tcMar>
              <w:top w:type="dxa" w:w="60"/>
              <w:left w:type="dxa" w:w="60"/>
              <w:bottom w:type="dxa" w:w="60"/>
              <w:right w:type="dxa" w:w="60"/>
            </w:tcMar>
          </w:tcPr>
          <w:p>
            <w:pPr>
              <w:jc w:val="center"/>
            </w:pPr>
            <w:r>
              <w:rPr>
                <w:rFonts w:ascii="Arial" w:cs="Arial" w:eastAsia="Arial" w:hAnsi="Arial"/>
                <w:b/>
                <w:bCs/>
                <w:color w:val="FFFFFF"/>
                <w:sz w:val="16"/>
                <w:szCs w:val="16"/>
              </w:rPr>
              <w:t xml:space="preserve">3</w:t>
            </w:r>
          </w:p>
        </w:tc>
        <w:tc>
          <w:tcPr>
            <w:tcBorders>
              <w:top w:val="single" w:color="e4e8ed" w:sz="1"/>
              <w:left w:val="single" w:color="e4e8ed" w:sz="1"/>
              <w:bottom w:val="single" w:color="e4e8ed" w:sz="1"/>
              <w:right w:val="single" w:color="e4e8ed" w:sz="1"/>
            </w:tcBorders>
            <w:shd w:fill="e3f0f9" w:val="clear"/>
            <w:tcMar>
              <w:top w:type="dxa" w:w="60"/>
              <w:left w:type="dxa" w:w="120"/>
              <w:bottom w:type="dxa" w:w="60"/>
              <w:right w:type="dxa" w:w="120"/>
            </w:tcMar>
          </w:tcPr>
          <w:p>
            <w:pPr>
              <w:spacing w:before="0" w:after="0"/>
            </w:pPr>
            <w:r>
              <w:rPr>
                <w:rFonts w:ascii="Arial" w:cs="Arial" w:eastAsia="Arial" w:hAnsi="Arial"/>
                <w:b/>
                <w:bCs/>
                <w:color w:val="32485e"/>
                <w:sz w:val="18"/>
                <w:szCs w:val="18"/>
              </w:rPr>
              <w:t xml:space="preserve">Explanation of reconciling items</w:t>
            </w:r>
          </w:p>
        </w:tc>
        <w:tc>
          <w:tcPr>
            <w:tcBorders>
              <w:top w:val="single" w:color="e4e8ed" w:sz="1"/>
              <w:left w:val="single" w:color="e4e8ed" w:sz="1"/>
              <w:bottom w:val="single" w:color="e4e8ed" w:sz="1"/>
              <w:right w:val="single" w:color="e4e8ed" w:sz="1"/>
            </w:tcBorders>
            <w:shd w:fill="e3f0f9" w:val="clear"/>
            <w:tcMar>
              <w:top w:type="dxa" w:w="60"/>
              <w:left w:type="dxa" w:w="120"/>
              <w:bottom w:type="dxa" w:w="60"/>
              <w:right w:type="dxa" w:w="120"/>
            </w:tcMar>
          </w:tcPr>
          <w:p>
            <w:pPr>
              <w:spacing w:before="60" w:after="120" w:line="276"/>
              <w:ind/>
              <w:jc w:val="left"/>
            </w:pPr>
            <w:r>
              <w:rPr>
                <w:rFonts w:ascii="Arial" w:cs="Arial" w:eastAsia="Arial" w:hAnsi="Arial"/>
                <w:b w:val="false"/>
                <w:bCs w:val="false"/>
                <w:i w:val="false"/>
                <w:iCs w:val="false"/>
                <w:color w:val="5a6e82"/>
                <w:sz w:val="18"/>
                <w:szCs w:val="18"/>
              </w:rPr>
              <w:t xml:space="preserve">For each item in the reconciliation, explain its nature and why it has been excluded or adjusted.</w:t>
            </w:r>
          </w:p>
        </w:tc>
      </w:tr>
      <w:tr>
        <w:tc>
          <w:tcPr>
            <w:tcBorders>
              <w:top w:val="none" w:color="FFFFFF" w:sz="0"/>
              <w:left w:val="none" w:color="FFFFFF" w:sz="0"/>
              <w:bottom w:val="none" w:color="FFFFFF" w:sz="0"/>
              <w:right w:val="none" w:color="FFFFFF" w:sz="0"/>
            </w:tcBorders>
            <w:shd w:fill="1a6fa8" w:val="clear"/>
            <w:tcMar>
              <w:top w:type="dxa" w:w="60"/>
              <w:left w:type="dxa" w:w="60"/>
              <w:bottom w:type="dxa" w:w="60"/>
              <w:right w:type="dxa" w:w="60"/>
            </w:tcMar>
          </w:tcPr>
          <w:p>
            <w:pPr>
              <w:jc w:val="center"/>
            </w:pPr>
            <w:r>
              <w:rPr>
                <w:rFonts w:ascii="Arial" w:cs="Arial" w:eastAsia="Arial" w:hAnsi="Arial"/>
                <w:b/>
                <w:bCs/>
                <w:color w:val="FFFFFF"/>
                <w:sz w:val="16"/>
                <w:szCs w:val="16"/>
              </w:rPr>
              <w:t xml:space="preserve">4</w:t>
            </w:r>
          </w:p>
        </w:tc>
        <w:tc>
          <w:tcPr>
            <w:tcBorders>
              <w:top w:val="single" w:color="e4e8ed" w:sz="1"/>
              <w:left w:val="single" w:color="e4e8ed" w:sz="1"/>
              <w:bottom w:val="single" w:color="e4e8ed" w:sz="1"/>
              <w:right w:val="single" w:color="e4e8ed" w:sz="1"/>
            </w:tcBorders>
            <w:shd w:fill="FFFFFF" w:val="clear"/>
            <w:tcMar>
              <w:top w:type="dxa" w:w="60"/>
              <w:left w:type="dxa" w:w="120"/>
              <w:bottom w:type="dxa" w:w="60"/>
              <w:right w:type="dxa" w:w="120"/>
            </w:tcMar>
          </w:tcPr>
          <w:p>
            <w:pPr>
              <w:spacing w:before="0" w:after="0"/>
            </w:pPr>
            <w:r>
              <w:rPr>
                <w:rFonts w:ascii="Arial" w:cs="Arial" w:eastAsia="Arial" w:hAnsi="Arial"/>
                <w:b/>
                <w:bCs/>
                <w:color w:val="32485e"/>
                <w:sz w:val="18"/>
                <w:szCs w:val="18"/>
              </w:rPr>
              <w:t xml:space="preserve">Income tax effect</w:t>
            </w:r>
          </w:p>
        </w:tc>
        <w:tc>
          <w:tcPr>
            <w:tcBorders>
              <w:top w:val="single" w:color="e4e8ed" w:sz="1"/>
              <w:left w:val="single" w:color="e4e8ed" w:sz="1"/>
              <w:bottom w:val="single" w:color="e4e8ed" w:sz="1"/>
              <w:right w:val="single" w:color="e4e8ed" w:sz="1"/>
            </w:tcBorders>
            <w:shd w:fill="FFFFFF" w:val="clear"/>
            <w:tcMar>
              <w:top w:type="dxa" w:w="60"/>
              <w:left w:type="dxa" w:w="120"/>
              <w:bottom w:type="dxa" w:w="60"/>
              <w:right w:type="dxa" w:w="120"/>
            </w:tcMar>
          </w:tcPr>
          <w:p>
            <w:pPr>
              <w:spacing w:before="60" w:after="120" w:line="276"/>
              <w:ind/>
              <w:jc w:val="left"/>
            </w:pPr>
            <w:r>
              <w:rPr>
                <w:rFonts w:ascii="Arial" w:cs="Arial" w:eastAsia="Arial" w:hAnsi="Arial"/>
                <w:b w:val="false"/>
                <w:bCs w:val="false"/>
                <w:i w:val="false"/>
                <w:iCs w:val="false"/>
                <w:color w:val="5a6e82"/>
                <w:sz w:val="18"/>
                <w:szCs w:val="18"/>
              </w:rPr>
              <w:t xml:space="preserve">The income tax effect of each reconciling item, showing the tax impact of the adjustments.</w:t>
            </w:r>
          </w:p>
        </w:tc>
      </w:tr>
      <w:tr>
        <w:tc>
          <w:tcPr>
            <w:tcBorders>
              <w:top w:val="none" w:color="FFFFFF" w:sz="0"/>
              <w:left w:val="none" w:color="FFFFFF" w:sz="0"/>
              <w:bottom w:val="none" w:color="FFFFFF" w:sz="0"/>
              <w:right w:val="none" w:color="FFFFFF" w:sz="0"/>
            </w:tcBorders>
            <w:shd w:fill="1a6fa8" w:val="clear"/>
            <w:tcMar>
              <w:top w:type="dxa" w:w="60"/>
              <w:left w:type="dxa" w:w="60"/>
              <w:bottom w:type="dxa" w:w="60"/>
              <w:right w:type="dxa" w:w="60"/>
            </w:tcMar>
          </w:tcPr>
          <w:p>
            <w:pPr>
              <w:jc w:val="center"/>
            </w:pPr>
            <w:r>
              <w:rPr>
                <w:rFonts w:ascii="Arial" w:cs="Arial" w:eastAsia="Arial" w:hAnsi="Arial"/>
                <w:b/>
                <w:bCs/>
                <w:color w:val="FFFFFF"/>
                <w:sz w:val="16"/>
                <w:szCs w:val="16"/>
              </w:rPr>
              <w:t xml:space="preserve">5</w:t>
            </w:r>
          </w:p>
        </w:tc>
        <w:tc>
          <w:tcPr>
            <w:tcBorders>
              <w:top w:val="single" w:color="e4e8ed" w:sz="1"/>
              <w:left w:val="single" w:color="e4e8ed" w:sz="1"/>
              <w:bottom w:val="single" w:color="e4e8ed" w:sz="1"/>
              <w:right w:val="single" w:color="e4e8ed" w:sz="1"/>
            </w:tcBorders>
            <w:shd w:fill="e3f0f9" w:val="clear"/>
            <w:tcMar>
              <w:top w:type="dxa" w:w="60"/>
              <w:left w:type="dxa" w:w="120"/>
              <w:bottom w:type="dxa" w:w="60"/>
              <w:right w:type="dxa" w:w="120"/>
            </w:tcMar>
          </w:tcPr>
          <w:p>
            <w:pPr>
              <w:spacing w:before="0" w:after="0"/>
            </w:pPr>
            <w:r>
              <w:rPr>
                <w:rFonts w:ascii="Arial" w:cs="Arial" w:eastAsia="Arial" w:hAnsi="Arial"/>
                <w:b/>
                <w:bCs/>
                <w:color w:val="32485e"/>
                <w:sz w:val="18"/>
                <w:szCs w:val="18"/>
              </w:rPr>
              <w:t xml:space="preserve">Non-controlling interest effect</w:t>
            </w:r>
          </w:p>
        </w:tc>
        <w:tc>
          <w:tcPr>
            <w:tcBorders>
              <w:top w:val="single" w:color="e4e8ed" w:sz="1"/>
              <w:left w:val="single" w:color="e4e8ed" w:sz="1"/>
              <w:bottom w:val="single" w:color="e4e8ed" w:sz="1"/>
              <w:right w:val="single" w:color="e4e8ed" w:sz="1"/>
            </w:tcBorders>
            <w:shd w:fill="e3f0f9" w:val="clear"/>
            <w:tcMar>
              <w:top w:type="dxa" w:w="60"/>
              <w:left w:type="dxa" w:w="120"/>
              <w:bottom w:type="dxa" w:w="60"/>
              <w:right w:type="dxa" w:w="120"/>
            </w:tcMar>
          </w:tcPr>
          <w:p>
            <w:pPr>
              <w:spacing w:before="60" w:after="120" w:line="276"/>
              <w:ind/>
              <w:jc w:val="left"/>
            </w:pPr>
            <w:r>
              <w:rPr>
                <w:rFonts w:ascii="Arial" w:cs="Arial" w:eastAsia="Arial" w:hAnsi="Arial"/>
                <w:b w:val="false"/>
                <w:bCs w:val="false"/>
                <w:i w:val="false"/>
                <w:iCs w:val="false"/>
                <w:color w:val="5a6e82"/>
                <w:sz w:val="18"/>
                <w:szCs w:val="18"/>
              </w:rPr>
              <w:t xml:space="preserve">The NCI effect of each reconciling item for consolidated entities.</w:t>
            </w:r>
          </w:p>
        </w:tc>
      </w:tr>
      <w:tr>
        <w:tc>
          <w:tcPr>
            <w:tcBorders>
              <w:top w:val="none" w:color="FFFFFF" w:sz="0"/>
              <w:left w:val="none" w:color="FFFFFF" w:sz="0"/>
              <w:bottom w:val="none" w:color="FFFFFF" w:sz="0"/>
              <w:right w:val="none" w:color="FFFFFF" w:sz="0"/>
            </w:tcBorders>
            <w:shd w:fill="1a6fa8" w:val="clear"/>
            <w:tcMar>
              <w:top w:type="dxa" w:w="60"/>
              <w:left w:type="dxa" w:w="60"/>
              <w:bottom w:type="dxa" w:w="60"/>
              <w:right w:type="dxa" w:w="60"/>
            </w:tcMar>
          </w:tcPr>
          <w:p>
            <w:pPr>
              <w:jc w:val="center"/>
            </w:pPr>
            <w:r>
              <w:rPr>
                <w:rFonts w:ascii="Arial" w:cs="Arial" w:eastAsia="Arial" w:hAnsi="Arial"/>
                <w:b/>
                <w:bCs/>
                <w:color w:val="FFFFFF"/>
                <w:sz w:val="16"/>
                <w:szCs w:val="16"/>
              </w:rPr>
              <w:t xml:space="preserve">6</w:t>
            </w:r>
          </w:p>
        </w:tc>
        <w:tc>
          <w:tcPr>
            <w:tcBorders>
              <w:top w:val="single" w:color="e4e8ed" w:sz="1"/>
              <w:left w:val="single" w:color="e4e8ed" w:sz="1"/>
              <w:bottom w:val="single" w:color="e4e8ed" w:sz="1"/>
              <w:right w:val="single" w:color="e4e8ed" w:sz="1"/>
            </w:tcBorders>
            <w:shd w:fill="FFFFFF" w:val="clear"/>
            <w:tcMar>
              <w:top w:type="dxa" w:w="60"/>
              <w:left w:type="dxa" w:w="120"/>
              <w:bottom w:type="dxa" w:w="60"/>
              <w:right w:type="dxa" w:w="120"/>
            </w:tcMar>
          </w:tcPr>
          <w:p>
            <w:pPr>
              <w:spacing w:before="0" w:after="0"/>
            </w:pPr>
            <w:r>
              <w:rPr>
                <w:rFonts w:ascii="Arial" w:cs="Arial" w:eastAsia="Arial" w:hAnsi="Arial"/>
                <w:b/>
                <w:bCs/>
                <w:color w:val="32485e"/>
                <w:sz w:val="18"/>
                <w:szCs w:val="18"/>
              </w:rPr>
              <w:t xml:space="preserve">Why the MPM is useful</w:t>
            </w:r>
          </w:p>
        </w:tc>
        <w:tc>
          <w:tcPr>
            <w:tcBorders>
              <w:top w:val="single" w:color="e4e8ed" w:sz="1"/>
              <w:left w:val="single" w:color="e4e8ed" w:sz="1"/>
              <w:bottom w:val="single" w:color="e4e8ed" w:sz="1"/>
              <w:right w:val="single" w:color="e4e8ed" w:sz="1"/>
            </w:tcBorders>
            <w:shd w:fill="FFFFFF" w:val="clear"/>
            <w:tcMar>
              <w:top w:type="dxa" w:w="60"/>
              <w:left w:type="dxa" w:w="120"/>
              <w:bottom w:type="dxa" w:w="60"/>
              <w:right w:type="dxa" w:w="120"/>
            </w:tcMar>
          </w:tcPr>
          <w:p>
            <w:pPr>
              <w:spacing w:before="60" w:after="120" w:line="276"/>
              <w:ind/>
              <w:jc w:val="left"/>
            </w:pPr>
            <w:r>
              <w:rPr>
                <w:rFonts w:ascii="Arial" w:cs="Arial" w:eastAsia="Arial" w:hAnsi="Arial"/>
                <w:b w:val="false"/>
                <w:bCs w:val="false"/>
                <w:i w:val="false"/>
                <w:iCs w:val="false"/>
                <w:color w:val="5a6e82"/>
                <w:sz w:val="18"/>
                <w:szCs w:val="18"/>
              </w:rPr>
              <w:t xml:space="preserve">An explanation of why the MPM provides useful information about the entity's financial performance that is not conveyed by the IFRS 18 subtotals alone.</w:t>
            </w:r>
          </w:p>
        </w:tc>
      </w:tr>
      <w:tr>
        <w:tc>
          <w:tcPr>
            <w:tcBorders>
              <w:top w:val="none" w:color="FFFFFF" w:sz="0"/>
              <w:left w:val="none" w:color="FFFFFF" w:sz="0"/>
              <w:bottom w:val="none" w:color="FFFFFF" w:sz="0"/>
              <w:right w:val="none" w:color="FFFFFF" w:sz="0"/>
            </w:tcBorders>
            <w:shd w:fill="1a6fa8" w:val="clear"/>
            <w:tcMar>
              <w:top w:type="dxa" w:w="60"/>
              <w:left w:type="dxa" w:w="60"/>
              <w:bottom w:type="dxa" w:w="60"/>
              <w:right w:type="dxa" w:w="60"/>
            </w:tcMar>
          </w:tcPr>
          <w:p>
            <w:pPr>
              <w:jc w:val="center"/>
            </w:pPr>
            <w:r>
              <w:rPr>
                <w:rFonts w:ascii="Arial" w:cs="Arial" w:eastAsia="Arial" w:hAnsi="Arial"/>
                <w:b/>
                <w:bCs/>
                <w:color w:val="FFFFFF"/>
                <w:sz w:val="16"/>
                <w:szCs w:val="16"/>
              </w:rPr>
              <w:t xml:space="preserve">7</w:t>
            </w:r>
          </w:p>
        </w:tc>
        <w:tc>
          <w:tcPr>
            <w:tcBorders>
              <w:top w:val="single" w:color="e4e8ed" w:sz="1"/>
              <w:left w:val="single" w:color="e4e8ed" w:sz="1"/>
              <w:bottom w:val="single" w:color="e4e8ed" w:sz="1"/>
              <w:right w:val="single" w:color="e4e8ed" w:sz="1"/>
            </w:tcBorders>
            <w:shd w:fill="e3f0f9" w:val="clear"/>
            <w:tcMar>
              <w:top w:type="dxa" w:w="60"/>
              <w:left w:type="dxa" w:w="120"/>
              <w:bottom w:type="dxa" w:w="60"/>
              <w:right w:type="dxa" w:w="120"/>
            </w:tcMar>
          </w:tcPr>
          <w:p>
            <w:pPr>
              <w:spacing w:before="0" w:after="0"/>
            </w:pPr>
            <w:r>
              <w:rPr>
                <w:rFonts w:ascii="Arial" w:cs="Arial" w:eastAsia="Arial" w:hAnsi="Arial"/>
                <w:b/>
                <w:bCs/>
                <w:color w:val="32485e"/>
                <w:sz w:val="18"/>
                <w:szCs w:val="18"/>
              </w:rPr>
              <w:t xml:space="preserve">Consistency</w:t>
            </w:r>
          </w:p>
        </w:tc>
        <w:tc>
          <w:tcPr>
            <w:tcBorders>
              <w:top w:val="single" w:color="e4e8ed" w:sz="1"/>
              <w:left w:val="single" w:color="e4e8ed" w:sz="1"/>
              <w:bottom w:val="single" w:color="e4e8ed" w:sz="1"/>
              <w:right w:val="single" w:color="e4e8ed" w:sz="1"/>
            </w:tcBorders>
            <w:shd w:fill="e3f0f9" w:val="clear"/>
            <w:tcMar>
              <w:top w:type="dxa" w:w="60"/>
              <w:left w:type="dxa" w:w="120"/>
              <w:bottom w:type="dxa" w:w="60"/>
              <w:right w:type="dxa" w:w="120"/>
            </w:tcMar>
          </w:tcPr>
          <w:p>
            <w:pPr>
              <w:spacing w:before="60" w:after="120" w:line="276"/>
              <w:ind/>
              <w:jc w:val="left"/>
            </w:pPr>
            <w:r>
              <w:rPr>
                <w:rFonts w:ascii="Arial" w:cs="Arial" w:eastAsia="Arial" w:hAnsi="Arial"/>
                <w:b w:val="false"/>
                <w:bCs w:val="false"/>
                <w:i w:val="false"/>
                <w:iCs w:val="false"/>
                <w:color w:val="5a6e82"/>
                <w:sz w:val="18"/>
                <w:szCs w:val="18"/>
              </w:rPr>
              <w:t xml:space="preserve">The MPM must be calculated consistently from period to period. If changed, explain why and provide restated comparatives.</w:t>
            </w:r>
          </w:p>
        </w:tc>
      </w:tr>
    </w:tbl>
    <w:p>
      <w:pPr>
        <w:spacing w:before="100" w:after="1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Borders>
              <w:top w:val="none" w:color="FFFFFF" w:sz="0"/>
              <w:left w:val="none" w:color="FFFFFF" w:sz="0"/>
              <w:bottom w:val="none" w:color="FFFFFF" w:sz="0"/>
              <w:right w:val="none" w:color="FFFFFF" w:sz="0"/>
            </w:tcBorders>
            <w:shd w:fill="682865" w:val="clear"/>
            <w:tcMar>
              <w:top w:type="dxa" w:w="80"/>
              <w:left w:type="dxa" w:w="120"/>
              <w:bottom w:type="dxa" w:w="80"/>
              <w:right w:type="dxa" w:w="120"/>
            </w:tcMar>
          </w:tcPr>
          <w:p>
            <w:r>
              <w:rPr>
                <w:rFonts w:ascii="Arial" w:cs="Arial" w:eastAsia="Arial" w:hAnsi="Arial"/>
                <w:b/>
                <w:bCs/>
                <w:color w:val="FFFFFF"/>
                <w:sz w:val="18"/>
                <w:szCs w:val="18"/>
              </w:rPr>
              <w:t xml:space="preserve">ILLUSTRATIVE MPM NOTE — ADJUSTED EBITDA</w:t>
            </w:r>
          </w:p>
        </w:tc>
      </w:tr>
    </w:tbl>
    <w:p>
      <w:pPr>
        <w:spacing w:before="100" w:after="1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80"/>
        <w:gridCol w:w="8946"/>
      </w:tblGrid>
      <w:tr>
        <w:tc>
          <w:tcPr>
            <w:tcW w:type="dxa" w:w="80"/>
            <w:tcBorders>
              <w:top w:val="none" w:color="FFFFFF" w:sz="0"/>
              <w:left w:val="none" w:color="FFFFFF" w:sz="0"/>
              <w:bottom w:val="none" w:color="FFFFFF" w:sz="0"/>
              <w:right w:val="none" w:color="FFFFFF" w:sz="0"/>
            </w:tcBorders>
            <w:shd w:fill="682865" w:val="clear"/>
          </w:tcPr>
          <w:p>
            <w:pPr>
              <w:spacing w:before="60" w:after="120" w:line="276"/>
              <w:ind/>
              <w:jc w:val="left"/>
            </w:pPr>
          </w:p>
        </w:tc>
        <w:tc>
          <w:tcPr>
            <w:tcBorders>
              <w:top w:val="none" w:color="FFFFFF" w:sz="0"/>
              <w:left w:val="none" w:color="FFFFFF" w:sz="0"/>
              <w:bottom w:val="none" w:color="FFFFFF" w:sz="0"/>
              <w:right w:val="none" w:color="FFFFFF" w:sz="0"/>
            </w:tcBorders>
            <w:shd w:fill="f3eaf3" w:val="clear"/>
            <w:tcMar>
              <w:top w:type="dxa" w:w="80"/>
              <w:left w:type="dxa" w:w="120"/>
              <w:bottom w:type="dxa" w:w="80"/>
              <w:right w:type="dxa" w:w="120"/>
            </w:tcMar>
          </w:tcPr>
          <w:p>
            <w:pPr>
              <w:spacing w:before="60" w:after="120" w:line="276"/>
              <w:ind/>
              <w:jc w:val="left"/>
            </w:pPr>
            <w:r>
              <w:rPr>
                <w:rFonts w:ascii="Arial" w:cs="Arial" w:eastAsia="Arial" w:hAnsi="Arial"/>
                <w:b w:val="false"/>
                <w:bCs w:val="false"/>
                <w:i w:val="false"/>
                <w:iCs w:val="false"/>
                <w:color w:val="5a6e82"/>
                <w:sz w:val="20"/>
                <w:szCs w:val="20"/>
              </w:rPr>
              <w:t xml:space="preserve">The following is an illustrative IFRS 18-compliant MPM note for Adjusted EBITDA. Adapt for your client's specific adjustments. The note must appear in the notes to the financial statements and is subject to audit.</w:t>
            </w:r>
          </w:p>
        </w:tc>
      </w:tr>
    </w:tbl>
    <w:p>
      <w:pPr>
        <w:spacing w:before="100" w:after="1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2256"/>
        <w:gridCol w:w="2256"/>
      </w:tblGrid>
      <w:tr>
        <w:tc>
          <w:tcPr>
            <w:tcBorders>
              <w:top w:val="single" w:color="e4e8ed" w:sz="1"/>
              <w:left w:val="single" w:color="e4e8ed" w:sz="1"/>
              <w:bottom w:val="single" w:color="e4e8ed" w:sz="1"/>
              <w:right w:val="single" w:color="e4e8ed" w:sz="1"/>
            </w:tcBorders>
            <w:shd w:fill="32485e" w:val="clear"/>
            <w:tcMar>
              <w:top w:type="dxa" w:w="60"/>
              <w:left w:type="dxa" w:w="120"/>
              <w:bottom w:type="dxa" w:w="60"/>
              <w:right w:type="dxa" w:w="120"/>
            </w:tcMar>
          </w:tcPr>
          <w:p>
            <w:r>
              <w:rPr>
                <w:rFonts w:ascii="Arial" w:cs="Arial" w:eastAsia="Arial" w:hAnsi="Arial"/>
                <w:b/>
                <w:bCs/>
                <w:color w:val="FFFFFF"/>
                <w:sz w:val="18"/>
                <w:szCs w:val="18"/>
              </w:rPr>
              <w:t xml:space="preserve">Adjusted EBITDA — Reconciliation to Operating Profit</w:t>
            </w:r>
          </w:p>
        </w:tc>
        <w:tc>
          <w:tcPr>
            <w:tcBorders>
              <w:top w:val="single" w:color="e4e8ed" w:sz="1"/>
              <w:left w:val="single" w:color="e4e8ed" w:sz="1"/>
              <w:bottom w:val="single" w:color="e4e8ed" w:sz="1"/>
              <w:right w:val="single" w:color="e4e8ed" w:sz="1"/>
            </w:tcBorders>
            <w:shd w:fill="32485e" w:val="clear"/>
            <w:tcMar>
              <w:top w:type="dxa" w:w="60"/>
              <w:left w:type="dxa" w:w="60"/>
              <w:bottom w:type="dxa" w:w="60"/>
              <w:right w:type="dxa" w:w="60"/>
            </w:tcMar>
          </w:tcPr>
          <w:p>
            <w:pPr>
              <w:jc w:val="right"/>
            </w:pPr>
            <w:r>
              <w:rPr>
                <w:rFonts w:ascii="Arial" w:cs="Arial" w:eastAsia="Arial" w:hAnsi="Arial"/>
                <w:b/>
                <w:bCs/>
                <w:color w:val="FFFFFF"/>
                <w:sz w:val="18"/>
                <w:szCs w:val="18"/>
              </w:rPr>
              <w:t xml:space="preserve">CY £000</w:t>
            </w:r>
          </w:p>
        </w:tc>
        <w:tc>
          <w:tcPr>
            <w:tcBorders>
              <w:top w:val="single" w:color="e4e8ed" w:sz="1"/>
              <w:left w:val="single" w:color="e4e8ed" w:sz="1"/>
              <w:bottom w:val="single" w:color="e4e8ed" w:sz="1"/>
              <w:right w:val="single" w:color="e4e8ed" w:sz="1"/>
            </w:tcBorders>
            <w:shd w:fill="32485e" w:val="clear"/>
            <w:tcMar>
              <w:top w:type="dxa" w:w="60"/>
              <w:left w:type="dxa" w:w="60"/>
              <w:bottom w:type="dxa" w:w="60"/>
              <w:right w:type="dxa" w:w="60"/>
            </w:tcMar>
          </w:tcPr>
          <w:p>
            <w:pPr>
              <w:jc w:val="right"/>
            </w:pPr>
            <w:r>
              <w:rPr>
                <w:rFonts w:ascii="Arial" w:cs="Arial" w:eastAsia="Arial" w:hAnsi="Arial"/>
                <w:b/>
                <w:bCs/>
                <w:color w:val="FFFFFF"/>
                <w:sz w:val="18"/>
                <w:szCs w:val="18"/>
              </w:rPr>
              <w:t xml:space="preserve">PY £000</w:t>
            </w:r>
          </w:p>
        </w:tc>
      </w:tr>
      <w:tr>
        <w:tc>
          <w:tcPr>
            <w:tcBorders>
              <w:top w:val="single" w:color="e4e8ed" w:sz="1"/>
              <w:left w:val="single" w:color="e4e8ed" w:sz="1"/>
              <w:bottom w:val="single" w:color="e4e8ed" w:sz="1"/>
              <w:right w:val="single" w:color="e4e8ed" w:sz="1"/>
            </w:tcBorders>
            <w:shd w:fill="FFFFFF" w:val="clear"/>
            <w:tcMar>
              <w:top w:type="dxa" w:w="60"/>
              <w:left w:type="dxa" w:w="120"/>
              <w:bottom w:type="dxa" w:w="60"/>
              <w:right w:type="dxa" w:w="120"/>
            </w:tcMar>
          </w:tcPr>
          <w:p>
            <w:pPr>
              <w:spacing w:before="0" w:after="0"/>
            </w:pPr>
            <w:r>
              <w:rPr>
                <w:rFonts w:ascii="Arial" w:cs="Arial" w:eastAsia="Arial" w:hAnsi="Arial"/>
                <w:b/>
                <w:bCs/>
                <w:color w:val="243448"/>
                <w:sz w:val="18"/>
                <w:szCs w:val="18"/>
              </w:rPr>
              <w:t xml:space="preserve">Operating profit (IFRS 18 Subtotal 1)</w:t>
            </w:r>
          </w:p>
        </w:tc>
        <w:tc>
          <w:tcPr>
            <w:tcBorders>
              <w:top w:val="single" w:color="e4e8ed" w:sz="1"/>
              <w:left w:val="single" w:color="e4e8ed" w:sz="1"/>
              <w:bottom w:val="single" w:color="e4e8ed" w:sz="1"/>
              <w:right w:val="single" w:color="e4e8ed" w:sz="1"/>
            </w:tcBorders>
            <w:shd w:fill="FFFFFF" w:val="clear"/>
            <w:tcMar>
              <w:top w:type="dxa" w:w="60"/>
              <w:left w:type="dxa" w:w="60"/>
              <w:bottom w:type="dxa" w:w="60"/>
              <w:right w:type="dxa" w:w="60"/>
            </w:tcMar>
          </w:tcPr>
          <w:p>
            <w:pPr>
              <w:spacing w:before="0" w:after="0"/>
              <w:jc w:val="right"/>
            </w:pPr>
            <w:r>
              <w:rPr>
                <w:rFonts w:ascii="Arial" w:cs="Arial" w:eastAsia="Arial" w:hAnsi="Arial"/>
                <w:b/>
                <w:bCs/>
                <w:color w:val="243448"/>
                <w:sz w:val="18"/>
                <w:szCs w:val="18"/>
              </w:rPr>
              <w:t xml:space="preserve">XX,XXX</w:t>
            </w:r>
          </w:p>
        </w:tc>
        <w:tc>
          <w:tcPr>
            <w:tcBorders>
              <w:top w:val="single" w:color="e4e8ed" w:sz="1"/>
              <w:left w:val="single" w:color="e4e8ed" w:sz="1"/>
              <w:bottom w:val="single" w:color="e4e8ed" w:sz="1"/>
              <w:right w:val="single" w:color="e4e8ed" w:sz="1"/>
            </w:tcBorders>
            <w:shd w:fill="FFFFFF" w:val="clear"/>
            <w:tcMar>
              <w:top w:type="dxa" w:w="60"/>
              <w:left w:type="dxa" w:w="60"/>
              <w:bottom w:type="dxa" w:w="60"/>
              <w:right w:type="dxa" w:w="60"/>
            </w:tcMar>
          </w:tcPr>
          <w:p>
            <w:pPr>
              <w:spacing w:before="0" w:after="0"/>
              <w:jc w:val="right"/>
            </w:pPr>
            <w:r>
              <w:rPr>
                <w:rFonts w:ascii="Arial" w:cs="Arial" w:eastAsia="Arial" w:hAnsi="Arial"/>
                <w:b/>
                <w:bCs/>
                <w:color w:val="243448"/>
                <w:sz w:val="18"/>
                <w:szCs w:val="18"/>
              </w:rPr>
              <w:t xml:space="preserve">XX,XXX</w:t>
            </w:r>
          </w:p>
        </w:tc>
      </w:tr>
      <w:tr>
        <w:tc>
          <w:tcPr>
            <w:tcBorders>
              <w:top w:val="single" w:color="e4e8ed" w:sz="1"/>
              <w:left w:val="single" w:color="e4e8ed" w:sz="1"/>
              <w:bottom w:val="single" w:color="e4e8ed" w:sz="1"/>
              <w:right w:val="single" w:color="e4e8ed" w:sz="1"/>
            </w:tcBorders>
            <w:shd w:fill="f7f8fa" w:val="clear"/>
            <w:tcMar>
              <w:top w:type="dxa" w:w="60"/>
              <w:left w:type="dxa" w:w="120"/>
              <w:bottom w:type="dxa" w:w="60"/>
              <w:right w:type="dxa" w:w="120"/>
            </w:tcMar>
          </w:tcPr>
          <w:p>
            <w:pPr>
              <w:spacing w:before="0" w:after="0"/>
            </w:pPr>
            <w:r>
              <w:rPr>
                <w:rFonts w:ascii="Arial" w:cs="Arial" w:eastAsia="Arial" w:hAnsi="Arial"/>
                <w:b w:val="false"/>
                <w:bCs w:val="false"/>
                <w:color w:val="5a6e82"/>
                <w:sz w:val="18"/>
                <w:szCs w:val="18"/>
              </w:rPr>
              <w:t xml:space="preserve">Add: Depreciation of property, plant and equipment</w:t>
            </w:r>
          </w:p>
        </w:tc>
        <w:tc>
          <w:tcPr>
            <w:tcBorders>
              <w:top w:val="single" w:color="e4e8ed" w:sz="1"/>
              <w:left w:val="single" w:color="e4e8ed" w:sz="1"/>
              <w:bottom w:val="single" w:color="e4e8ed" w:sz="1"/>
              <w:right w:val="single" w:color="e4e8ed" w:sz="1"/>
            </w:tcBorders>
            <w:shd w:fill="f7f8fa" w:val="clear"/>
            <w:tcMar>
              <w:top w:type="dxa" w:w="60"/>
              <w:left w:type="dxa" w:w="60"/>
              <w:bottom w:type="dxa" w:w="60"/>
              <w:right w:type="dxa" w:w="60"/>
            </w:tcMar>
          </w:tcPr>
          <w:p>
            <w:pPr>
              <w:spacing w:before="0" w:after="0"/>
              <w:jc w:val="right"/>
            </w:pPr>
            <w:r>
              <w:rPr>
                <w:rFonts w:ascii="Arial" w:cs="Arial" w:eastAsia="Arial" w:hAnsi="Arial"/>
                <w:b w:val="false"/>
                <w:bCs w:val="false"/>
                <w:color w:val="5a6e82"/>
                <w:sz w:val="18"/>
                <w:szCs w:val="18"/>
              </w:rPr>
              <w:t xml:space="preserve">X,XXX</w:t>
            </w:r>
          </w:p>
        </w:tc>
        <w:tc>
          <w:tcPr>
            <w:tcBorders>
              <w:top w:val="single" w:color="e4e8ed" w:sz="1"/>
              <w:left w:val="single" w:color="e4e8ed" w:sz="1"/>
              <w:bottom w:val="single" w:color="e4e8ed" w:sz="1"/>
              <w:right w:val="single" w:color="e4e8ed" w:sz="1"/>
            </w:tcBorders>
            <w:shd w:fill="f7f8fa" w:val="clear"/>
            <w:tcMar>
              <w:top w:type="dxa" w:w="60"/>
              <w:left w:type="dxa" w:w="60"/>
              <w:bottom w:type="dxa" w:w="60"/>
              <w:right w:type="dxa" w:w="60"/>
            </w:tcMar>
          </w:tcPr>
          <w:p>
            <w:pPr>
              <w:spacing w:before="0" w:after="0"/>
              <w:jc w:val="right"/>
            </w:pPr>
            <w:r>
              <w:rPr>
                <w:rFonts w:ascii="Arial" w:cs="Arial" w:eastAsia="Arial" w:hAnsi="Arial"/>
                <w:b w:val="false"/>
                <w:bCs w:val="false"/>
                <w:color w:val="5a6e82"/>
                <w:sz w:val="18"/>
                <w:szCs w:val="18"/>
              </w:rPr>
              <w:t xml:space="preserve">X,XXX</w:t>
            </w:r>
          </w:p>
        </w:tc>
      </w:tr>
      <w:tr>
        <w:tc>
          <w:tcPr>
            <w:tcBorders>
              <w:top w:val="single" w:color="e4e8ed" w:sz="1"/>
              <w:left w:val="single" w:color="e4e8ed" w:sz="1"/>
              <w:bottom w:val="single" w:color="e4e8ed" w:sz="1"/>
              <w:right w:val="single" w:color="e4e8ed" w:sz="1"/>
            </w:tcBorders>
            <w:shd w:fill="FFFFFF" w:val="clear"/>
            <w:tcMar>
              <w:top w:type="dxa" w:w="60"/>
              <w:left w:type="dxa" w:w="120"/>
              <w:bottom w:type="dxa" w:w="60"/>
              <w:right w:type="dxa" w:w="120"/>
            </w:tcMar>
          </w:tcPr>
          <w:p>
            <w:pPr>
              <w:spacing w:before="0" w:after="0"/>
            </w:pPr>
            <w:r>
              <w:rPr>
                <w:rFonts w:ascii="Arial" w:cs="Arial" w:eastAsia="Arial" w:hAnsi="Arial"/>
                <w:b w:val="false"/>
                <w:bCs w:val="false"/>
                <w:color w:val="5a6e82"/>
                <w:sz w:val="18"/>
                <w:szCs w:val="18"/>
              </w:rPr>
              <w:t xml:space="preserve">Add: Amortisation of intangible assets</w:t>
            </w:r>
          </w:p>
        </w:tc>
        <w:tc>
          <w:tcPr>
            <w:tcBorders>
              <w:top w:val="single" w:color="e4e8ed" w:sz="1"/>
              <w:left w:val="single" w:color="e4e8ed" w:sz="1"/>
              <w:bottom w:val="single" w:color="e4e8ed" w:sz="1"/>
              <w:right w:val="single" w:color="e4e8ed" w:sz="1"/>
            </w:tcBorders>
            <w:shd w:fill="FFFFFF" w:val="clear"/>
            <w:tcMar>
              <w:top w:type="dxa" w:w="60"/>
              <w:left w:type="dxa" w:w="60"/>
              <w:bottom w:type="dxa" w:w="60"/>
              <w:right w:type="dxa" w:w="60"/>
            </w:tcMar>
          </w:tcPr>
          <w:p>
            <w:pPr>
              <w:spacing w:before="0" w:after="0"/>
              <w:jc w:val="right"/>
            </w:pPr>
            <w:r>
              <w:rPr>
                <w:rFonts w:ascii="Arial" w:cs="Arial" w:eastAsia="Arial" w:hAnsi="Arial"/>
                <w:b w:val="false"/>
                <w:bCs w:val="false"/>
                <w:color w:val="5a6e82"/>
                <w:sz w:val="18"/>
                <w:szCs w:val="18"/>
              </w:rPr>
              <w:t xml:space="preserve">X,XXX</w:t>
            </w:r>
          </w:p>
        </w:tc>
        <w:tc>
          <w:tcPr>
            <w:tcBorders>
              <w:top w:val="single" w:color="e4e8ed" w:sz="1"/>
              <w:left w:val="single" w:color="e4e8ed" w:sz="1"/>
              <w:bottom w:val="single" w:color="e4e8ed" w:sz="1"/>
              <w:right w:val="single" w:color="e4e8ed" w:sz="1"/>
            </w:tcBorders>
            <w:shd w:fill="FFFFFF" w:val="clear"/>
            <w:tcMar>
              <w:top w:type="dxa" w:w="60"/>
              <w:left w:type="dxa" w:w="60"/>
              <w:bottom w:type="dxa" w:w="60"/>
              <w:right w:type="dxa" w:w="60"/>
            </w:tcMar>
          </w:tcPr>
          <w:p>
            <w:pPr>
              <w:spacing w:before="0" w:after="0"/>
              <w:jc w:val="right"/>
            </w:pPr>
            <w:r>
              <w:rPr>
                <w:rFonts w:ascii="Arial" w:cs="Arial" w:eastAsia="Arial" w:hAnsi="Arial"/>
                <w:b w:val="false"/>
                <w:bCs w:val="false"/>
                <w:color w:val="5a6e82"/>
                <w:sz w:val="18"/>
                <w:szCs w:val="18"/>
              </w:rPr>
              <w:t xml:space="preserve">X,XXX</w:t>
            </w:r>
          </w:p>
        </w:tc>
      </w:tr>
      <w:tr>
        <w:tc>
          <w:tcPr>
            <w:tcBorders>
              <w:top w:val="single" w:color="e4e8ed" w:sz="1"/>
              <w:left w:val="single" w:color="e4e8ed" w:sz="1"/>
              <w:bottom w:val="single" w:color="e4e8ed" w:sz="1"/>
              <w:right w:val="single" w:color="e4e8ed" w:sz="1"/>
            </w:tcBorders>
            <w:shd w:fill="f7f8fa" w:val="clear"/>
            <w:tcMar>
              <w:top w:type="dxa" w:w="60"/>
              <w:left w:type="dxa" w:w="120"/>
              <w:bottom w:type="dxa" w:w="60"/>
              <w:right w:type="dxa" w:w="120"/>
            </w:tcMar>
          </w:tcPr>
          <w:p>
            <w:pPr>
              <w:spacing w:before="0" w:after="0"/>
            </w:pPr>
            <w:r>
              <w:rPr>
                <w:rFonts w:ascii="Arial" w:cs="Arial" w:eastAsia="Arial" w:hAnsi="Arial"/>
                <w:b w:val="false"/>
                <w:bCs w:val="false"/>
                <w:color w:val="5a6e82"/>
                <w:sz w:val="18"/>
                <w:szCs w:val="18"/>
              </w:rPr>
              <w:t xml:space="preserve">Add: Share-based compensation expense</w:t>
            </w:r>
          </w:p>
        </w:tc>
        <w:tc>
          <w:tcPr>
            <w:tcBorders>
              <w:top w:val="single" w:color="e4e8ed" w:sz="1"/>
              <w:left w:val="single" w:color="e4e8ed" w:sz="1"/>
              <w:bottom w:val="single" w:color="e4e8ed" w:sz="1"/>
              <w:right w:val="single" w:color="e4e8ed" w:sz="1"/>
            </w:tcBorders>
            <w:shd w:fill="f7f8fa" w:val="clear"/>
            <w:tcMar>
              <w:top w:type="dxa" w:w="60"/>
              <w:left w:type="dxa" w:w="60"/>
              <w:bottom w:type="dxa" w:w="60"/>
              <w:right w:type="dxa" w:w="60"/>
            </w:tcMar>
          </w:tcPr>
          <w:p>
            <w:pPr>
              <w:spacing w:before="0" w:after="0"/>
              <w:jc w:val="right"/>
            </w:pPr>
            <w:r>
              <w:rPr>
                <w:rFonts w:ascii="Arial" w:cs="Arial" w:eastAsia="Arial" w:hAnsi="Arial"/>
                <w:b w:val="false"/>
                <w:bCs w:val="false"/>
                <w:color w:val="5a6e82"/>
                <w:sz w:val="18"/>
                <w:szCs w:val="18"/>
              </w:rPr>
              <w:t xml:space="preserve">XXX</w:t>
            </w:r>
          </w:p>
        </w:tc>
        <w:tc>
          <w:tcPr>
            <w:tcBorders>
              <w:top w:val="single" w:color="e4e8ed" w:sz="1"/>
              <w:left w:val="single" w:color="e4e8ed" w:sz="1"/>
              <w:bottom w:val="single" w:color="e4e8ed" w:sz="1"/>
              <w:right w:val="single" w:color="e4e8ed" w:sz="1"/>
            </w:tcBorders>
            <w:shd w:fill="f7f8fa" w:val="clear"/>
            <w:tcMar>
              <w:top w:type="dxa" w:w="60"/>
              <w:left w:type="dxa" w:w="60"/>
              <w:bottom w:type="dxa" w:w="60"/>
              <w:right w:type="dxa" w:w="60"/>
            </w:tcMar>
          </w:tcPr>
          <w:p>
            <w:pPr>
              <w:spacing w:before="0" w:after="0"/>
              <w:jc w:val="right"/>
            </w:pPr>
            <w:r>
              <w:rPr>
                <w:rFonts w:ascii="Arial" w:cs="Arial" w:eastAsia="Arial" w:hAnsi="Arial"/>
                <w:b w:val="false"/>
                <w:bCs w:val="false"/>
                <w:color w:val="5a6e82"/>
                <w:sz w:val="18"/>
                <w:szCs w:val="18"/>
              </w:rPr>
              <w:t xml:space="preserve">XXX</w:t>
            </w:r>
          </w:p>
        </w:tc>
      </w:tr>
      <w:tr>
        <w:tc>
          <w:tcPr>
            <w:tcBorders>
              <w:top w:val="single" w:color="e4e8ed" w:sz="1"/>
              <w:left w:val="single" w:color="e4e8ed" w:sz="1"/>
              <w:bottom w:val="single" w:color="e4e8ed" w:sz="1"/>
              <w:right w:val="single" w:color="e4e8ed" w:sz="1"/>
            </w:tcBorders>
            <w:shd w:fill="FFFFFF" w:val="clear"/>
            <w:tcMar>
              <w:top w:type="dxa" w:w="60"/>
              <w:left w:type="dxa" w:w="120"/>
              <w:bottom w:type="dxa" w:w="60"/>
              <w:right w:type="dxa" w:w="120"/>
            </w:tcMar>
          </w:tcPr>
          <w:p>
            <w:pPr>
              <w:spacing w:before="0" w:after="0"/>
            </w:pPr>
            <w:r>
              <w:rPr>
                <w:rFonts w:ascii="Arial" w:cs="Arial" w:eastAsia="Arial" w:hAnsi="Arial"/>
                <w:b w:val="false"/>
                <w:bCs w:val="false"/>
                <w:color w:val="5a6e82"/>
                <w:sz w:val="18"/>
                <w:szCs w:val="18"/>
              </w:rPr>
              <w:t xml:space="preserve">Add/(less): Restructuring costs</w:t>
            </w:r>
          </w:p>
        </w:tc>
        <w:tc>
          <w:tcPr>
            <w:tcBorders>
              <w:top w:val="single" w:color="e4e8ed" w:sz="1"/>
              <w:left w:val="single" w:color="e4e8ed" w:sz="1"/>
              <w:bottom w:val="single" w:color="e4e8ed" w:sz="1"/>
              <w:right w:val="single" w:color="e4e8ed" w:sz="1"/>
            </w:tcBorders>
            <w:shd w:fill="FFFFFF" w:val="clear"/>
            <w:tcMar>
              <w:top w:type="dxa" w:w="60"/>
              <w:left w:type="dxa" w:w="60"/>
              <w:bottom w:type="dxa" w:w="60"/>
              <w:right w:type="dxa" w:w="60"/>
            </w:tcMar>
          </w:tcPr>
          <w:p>
            <w:pPr>
              <w:spacing w:before="0" w:after="0"/>
              <w:jc w:val="right"/>
            </w:pPr>
            <w:r>
              <w:rPr>
                <w:rFonts w:ascii="Arial" w:cs="Arial" w:eastAsia="Arial" w:hAnsi="Arial"/>
                <w:b w:val="false"/>
                <w:bCs w:val="false"/>
                <w:color w:val="5a6e82"/>
                <w:sz w:val="18"/>
                <w:szCs w:val="18"/>
              </w:rPr>
              <w:t xml:space="preserve">XXX</w:t>
            </w:r>
          </w:p>
        </w:tc>
        <w:tc>
          <w:tcPr>
            <w:tcBorders>
              <w:top w:val="single" w:color="e4e8ed" w:sz="1"/>
              <w:left w:val="single" w:color="e4e8ed" w:sz="1"/>
              <w:bottom w:val="single" w:color="e4e8ed" w:sz="1"/>
              <w:right w:val="single" w:color="e4e8ed" w:sz="1"/>
            </w:tcBorders>
            <w:shd w:fill="FFFFFF" w:val="clear"/>
            <w:tcMar>
              <w:top w:type="dxa" w:w="60"/>
              <w:left w:type="dxa" w:w="60"/>
              <w:bottom w:type="dxa" w:w="60"/>
              <w:right w:type="dxa" w:w="60"/>
            </w:tcMar>
          </w:tcPr>
          <w:p>
            <w:pPr>
              <w:spacing w:before="0" w:after="0"/>
              <w:jc w:val="right"/>
            </w:pPr>
            <w:r>
              <w:rPr>
                <w:rFonts w:ascii="Arial" w:cs="Arial" w:eastAsia="Arial" w:hAnsi="Arial"/>
                <w:b w:val="false"/>
                <w:bCs w:val="false"/>
                <w:color w:val="5a6e82"/>
                <w:sz w:val="18"/>
                <w:szCs w:val="18"/>
              </w:rPr>
              <w:t xml:space="preserve">(XXX)</w:t>
            </w:r>
          </w:p>
        </w:tc>
      </w:tr>
      <w:tr>
        <w:tc>
          <w:tcPr>
            <w:tcBorders>
              <w:top w:val="single" w:color="e4e8ed" w:sz="1"/>
              <w:left w:val="single" w:color="e4e8ed" w:sz="1"/>
              <w:bottom w:val="single" w:color="e4e8ed" w:sz="1"/>
              <w:right w:val="single" w:color="e4e8ed" w:sz="1"/>
            </w:tcBorders>
            <w:shd w:fill="edf1f5" w:val="clear"/>
            <w:tcMar>
              <w:top w:type="dxa" w:w="60"/>
              <w:left w:type="dxa" w:w="120"/>
              <w:bottom w:type="dxa" w:w="60"/>
              <w:right w:type="dxa" w:w="120"/>
            </w:tcMar>
          </w:tcPr>
          <w:p>
            <w:pPr>
              <w:spacing w:before="0" w:after="0"/>
            </w:pPr>
            <w:r>
              <w:rPr>
                <w:rFonts w:ascii="Arial" w:cs="Arial" w:eastAsia="Arial" w:hAnsi="Arial"/>
                <w:b/>
                <w:bCs/>
                <w:color w:val="243448"/>
                <w:sz w:val="18"/>
                <w:szCs w:val="18"/>
              </w:rPr>
              <w:t xml:space="preserve">Adjusted EBITDA</w:t>
            </w:r>
          </w:p>
        </w:tc>
        <w:tc>
          <w:tcPr>
            <w:tcBorders>
              <w:top w:val="single" w:color="e4e8ed" w:sz="1"/>
              <w:left w:val="single" w:color="e4e8ed" w:sz="1"/>
              <w:bottom w:val="single" w:color="e4e8ed" w:sz="1"/>
              <w:right w:val="single" w:color="e4e8ed" w:sz="1"/>
            </w:tcBorders>
            <w:shd w:fill="edf1f5" w:val="clear"/>
            <w:tcMar>
              <w:top w:type="dxa" w:w="60"/>
              <w:left w:type="dxa" w:w="60"/>
              <w:bottom w:type="dxa" w:w="60"/>
              <w:right w:type="dxa" w:w="60"/>
            </w:tcMar>
          </w:tcPr>
          <w:p>
            <w:pPr>
              <w:spacing w:before="0" w:after="0"/>
              <w:jc w:val="right"/>
            </w:pPr>
            <w:r>
              <w:rPr>
                <w:rFonts w:ascii="Arial" w:cs="Arial" w:eastAsia="Arial" w:hAnsi="Arial"/>
                <w:b/>
                <w:bCs/>
                <w:color w:val="243448"/>
                <w:sz w:val="18"/>
                <w:szCs w:val="18"/>
              </w:rPr>
              <w:t xml:space="preserve">XX,XXX</w:t>
            </w:r>
          </w:p>
        </w:tc>
        <w:tc>
          <w:tcPr>
            <w:tcBorders>
              <w:top w:val="single" w:color="e4e8ed" w:sz="1"/>
              <w:left w:val="single" w:color="e4e8ed" w:sz="1"/>
              <w:bottom w:val="single" w:color="e4e8ed" w:sz="1"/>
              <w:right w:val="single" w:color="e4e8ed" w:sz="1"/>
            </w:tcBorders>
            <w:shd w:fill="edf1f5" w:val="clear"/>
            <w:tcMar>
              <w:top w:type="dxa" w:w="60"/>
              <w:left w:type="dxa" w:w="60"/>
              <w:bottom w:type="dxa" w:w="60"/>
              <w:right w:type="dxa" w:w="60"/>
            </w:tcMar>
          </w:tcPr>
          <w:p>
            <w:pPr>
              <w:spacing w:before="0" w:after="0"/>
              <w:jc w:val="right"/>
            </w:pPr>
            <w:r>
              <w:rPr>
                <w:rFonts w:ascii="Arial" w:cs="Arial" w:eastAsia="Arial" w:hAnsi="Arial"/>
                <w:b/>
                <w:bCs/>
                <w:color w:val="243448"/>
                <w:sz w:val="18"/>
                <w:szCs w:val="18"/>
              </w:rPr>
              <w:t xml:space="preserve">XX,XXX</w:t>
            </w:r>
          </w:p>
        </w:tc>
      </w:tr>
    </w:tbl>
    <w:p>
      <w:pPr>
        <w:spacing w:before="100" w:after="100"/>
      </w:pPr>
    </w:p>
    <w:p>
      <w:pPr>
        <w:spacing w:before="60" w:after="120" w:line="276"/>
        <w:ind/>
        <w:jc w:val="left"/>
      </w:pPr>
      <w:r>
        <w:rPr>
          <w:rFonts w:ascii="Arial" w:cs="Arial" w:eastAsia="Arial" w:hAnsi="Arial"/>
          <w:b/>
          <w:bCs/>
          <w:i/>
          <w:iCs/>
          <w:color w:val="5a6e82"/>
          <w:sz w:val="20"/>
          <w:szCs w:val="20"/>
        </w:rPr>
        <w:t xml:space="preserve">Why Adjusted EBITDA provides useful information:</w:t>
      </w:r>
      <w:r>
        <w:rPr>
          <w:rFonts w:ascii="Arial" w:cs="Arial" w:eastAsia="Arial" w:hAnsi="Arial"/>
          <w:b w:val="false"/>
          <w:bCs w:val="false"/>
          <w:i/>
          <w:iCs/>
          <w:color w:val="5a6e82"/>
          <w:sz w:val="20"/>
          <w:szCs w:val="20"/>
        </w:rPr>
        <w:t xml:space="preserve"> Adjusted EBITDA is used by management to assess the underlying operational performance of the business by removing the effects of financing costs, taxation, non-cash items (depreciation, amortisation and share-based compensation) and items that are not considered representative of the ongoing operational cost base (restructuring costs). This measure provides comparability across periods and with peers. [Adapt this explanation for your client.]</w:t>
      </w:r>
    </w:p>
    <w:p>
      <w:pPr>
        <w:spacing w:before="100" w:after="100"/>
      </w:pPr>
    </w:p>
    <w:p>
      <w:pPr>
        <w:spacing w:before="60" w:after="120" w:line="276"/>
        <w:ind/>
        <w:jc w:val="left"/>
      </w:pPr>
      <w:r>
        <w:rPr>
          <w:rFonts w:ascii="Arial" w:cs="Arial" w:eastAsia="Arial" w:hAnsi="Arial"/>
          <w:b/>
          <w:bCs/>
          <w:i/>
          <w:iCs/>
          <w:color w:val="5a6e82"/>
          <w:sz w:val="20"/>
          <w:szCs w:val="20"/>
        </w:rPr>
        <w:t xml:space="preserve">Income tax effect of adjustments:</w:t>
      </w:r>
      <w:r>
        <w:rPr>
          <w:rFonts w:ascii="Arial" w:cs="Arial" w:eastAsia="Arial" w:hAnsi="Arial"/>
          <w:b w:val="false"/>
          <w:bCs w:val="false"/>
          <w:i/>
          <w:iCs/>
          <w:color w:val="5a6e82"/>
          <w:sz w:val="20"/>
          <w:szCs w:val="20"/>
        </w:rPr>
        <w:t xml:space="preserve"> The income tax effect of the restructuring costs adjustment is £[X]k (PY: £[X]k) based on the applicable tax rate of [X]%. The other adjustments (depreciation, amortisation, SBC) are non-cash and their tax effects are reflected in the deferred tax charge for the period.</w:t>
      </w:r>
    </w:p>
    <w:p>
      <w:pPr>
        <w:spacing w:before="100" w:after="1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Borders>
              <w:top w:val="none" w:color="FFFFFF" w:sz="0"/>
              <w:left w:val="none" w:color="FFFFFF" w:sz="0"/>
              <w:bottom w:val="none" w:color="FFFFFF" w:sz="0"/>
              <w:right w:val="none" w:color="FFFFFF" w:sz="0"/>
            </w:tcBorders>
            <w:shd w:fill="2a8c38" w:val="clear"/>
            <w:tcMar>
              <w:top w:type="dxa" w:w="80"/>
              <w:left w:type="dxa" w:w="120"/>
              <w:bottom w:type="dxa" w:w="80"/>
              <w:right w:type="dxa" w:w="120"/>
            </w:tcMar>
          </w:tcPr>
          <w:p>
            <w:r>
              <w:rPr>
                <w:rFonts w:ascii="Arial" w:cs="Arial" w:eastAsia="Arial" w:hAnsi="Arial"/>
                <w:b/>
                <w:bCs/>
                <w:color w:val="FFFFFF"/>
                <w:sz w:val="18"/>
                <w:szCs w:val="18"/>
              </w:rPr>
              <w:t xml:space="preserve">ADVISORY CHECKLIST — MPM IMPLEMENTATION</w:t>
            </w:r>
          </w:p>
        </w:tc>
      </w:tr>
    </w:tbl>
    <w:p>
      <w:pPr>
        <w:spacing w:before="100" w:after="100"/>
      </w:pPr>
    </w:p>
    <w:p>
      <w:pPr>
        <w:pStyle w:val="ListParagraph"/>
        <w:numPr>
          <w:ilvl w:val="0"/>
          <w:numId w:val="2"/>
        </w:numPr>
        <w:spacing w:before="60" w:after="60" w:line="276"/>
      </w:pPr>
      <w:r>
        <w:rPr>
          <w:rFonts w:ascii="Arial" w:cs="Arial" w:eastAsia="Arial" w:hAnsi="Arial"/>
          <w:color w:val="1e2d3d"/>
          <w:sz w:val="19"/>
          <w:szCs w:val="19"/>
        </w:rPr>
        <w:t xml:space="preserve">Identify all MPMs: review last two years of press releases, investor presentations, annual report narratives, earnings calls and analyst guidance documents.</w:t>
      </w:r>
    </w:p>
    <w:p>
      <w:pPr>
        <w:pStyle w:val="ListParagraph"/>
        <w:numPr>
          <w:ilvl w:val="0"/>
          <w:numId w:val="2"/>
        </w:numPr>
        <w:spacing w:before="60" w:after="60" w:line="276"/>
      </w:pPr>
      <w:r>
        <w:rPr>
          <w:rFonts w:ascii="Arial" w:cs="Arial" w:eastAsia="Arial" w:hAnsi="Arial"/>
          <w:color w:val="1e2d3d"/>
          <w:sz w:val="19"/>
          <w:szCs w:val="19"/>
        </w:rPr>
        <w:t xml:space="preserve">For each candidate measure, apply the three-part test: (1) is it a P&amp;L subtotal? (2) used in public communications outside the financial statements? (3) not specified in IFRS?</w:t>
      </w:r>
    </w:p>
    <w:p>
      <w:pPr>
        <w:pStyle w:val="ListParagraph"/>
        <w:numPr>
          <w:ilvl w:val="0"/>
          <w:numId w:val="2"/>
        </w:numPr>
        <w:spacing w:before="60" w:after="60" w:line="276"/>
      </w:pPr>
      <w:r>
        <w:rPr>
          <w:rFonts w:ascii="Arial" w:cs="Arial" w:eastAsia="Arial" w:hAnsi="Arial"/>
          <w:color w:val="1e2d3d"/>
          <w:sz w:val="19"/>
          <w:szCs w:val="19"/>
        </w:rPr>
        <w:t xml:space="preserve">Document each MPM, its definition, and the adjustments made. Confirm the definition is applied consistently from period to period.</w:t>
      </w:r>
    </w:p>
    <w:p>
      <w:pPr>
        <w:pStyle w:val="ListParagraph"/>
        <w:numPr>
          <w:ilvl w:val="0"/>
          <w:numId w:val="2"/>
        </w:numPr>
        <w:spacing w:before="60" w:after="60" w:line="276"/>
      </w:pPr>
      <w:r>
        <w:rPr>
          <w:rFonts w:ascii="Arial" w:cs="Arial" w:eastAsia="Arial" w:hAnsi="Arial"/>
          <w:color w:val="1e2d3d"/>
          <w:sz w:val="19"/>
          <w:szCs w:val="19"/>
        </w:rPr>
        <w:t xml:space="preserve">Map each adjustment to IFRS 18 categories. Ensure adjustments do not inadvertently reclassify items between categories.</w:t>
      </w:r>
    </w:p>
    <w:p>
      <w:pPr>
        <w:pStyle w:val="ListParagraph"/>
        <w:numPr>
          <w:ilvl w:val="0"/>
          <w:numId w:val="2"/>
        </w:numPr>
        <w:spacing w:before="60" w:after="60" w:line="276"/>
      </w:pPr>
      <w:r>
        <w:rPr>
          <w:rFonts w:ascii="Arial" w:cs="Arial" w:eastAsia="Arial" w:hAnsi="Arial"/>
          <w:color w:val="1e2d3d"/>
          <w:sz w:val="19"/>
          <w:szCs w:val="19"/>
        </w:rPr>
        <w:t xml:space="preserve">Calculate the income tax effect of each adjustment. For deferred tax positions, confirm the calculation methodology with the tax team.</w:t>
      </w:r>
    </w:p>
    <w:p>
      <w:pPr>
        <w:pStyle w:val="ListParagraph"/>
        <w:numPr>
          <w:ilvl w:val="0"/>
          <w:numId w:val="2"/>
        </w:numPr>
        <w:spacing w:before="60" w:after="60" w:line="276"/>
      </w:pPr>
      <w:r>
        <w:rPr>
          <w:rFonts w:ascii="Arial" w:cs="Arial" w:eastAsia="Arial" w:hAnsi="Arial"/>
          <w:color w:val="1e2d3d"/>
          <w:sz w:val="19"/>
          <w:szCs w:val="19"/>
        </w:rPr>
        <w:t xml:space="preserve">Calculate the NCI effect of each adjustment for consolidated entities with non-wholly-owned subsidiaries.</w:t>
      </w:r>
    </w:p>
    <w:p>
      <w:pPr>
        <w:pStyle w:val="ListParagraph"/>
        <w:numPr>
          <w:ilvl w:val="0"/>
          <w:numId w:val="2"/>
        </w:numPr>
        <w:spacing w:before="60" w:after="60" w:line="276"/>
      </w:pPr>
      <w:r>
        <w:rPr>
          <w:rFonts w:ascii="Arial" w:cs="Arial" w:eastAsia="Arial" w:hAnsi="Arial"/>
          <w:color w:val="1e2d3d"/>
          <w:sz w:val="19"/>
          <w:szCs w:val="19"/>
        </w:rPr>
        <w:t xml:space="preserve">Draft the MPM note disclosure for each measure using the illustrative format above. Include: value, reconciliation, line-by-line explanation, tax effect, NCI effect, and useful information explanation.</w:t>
      </w:r>
    </w:p>
    <w:p>
      <w:pPr>
        <w:pStyle w:val="ListParagraph"/>
        <w:numPr>
          <w:ilvl w:val="0"/>
          <w:numId w:val="2"/>
        </w:numPr>
        <w:spacing w:before="60" w:after="60" w:line="276"/>
      </w:pPr>
      <w:r>
        <w:rPr>
          <w:rFonts w:ascii="Arial" w:cs="Arial" w:eastAsia="Arial" w:hAnsi="Arial"/>
          <w:color w:val="1e2d3d"/>
          <w:sz w:val="19"/>
          <w:szCs w:val="19"/>
        </w:rPr>
        <w:t xml:space="preserve">Agree MPM disclosures with auditors before accounts preparation — this is an audited note. Raise any consistency issues early.</w:t>
      </w:r>
    </w:p>
    <w:p>
      <w:pPr>
        <w:pStyle w:val="ListParagraph"/>
        <w:numPr>
          <w:ilvl w:val="0"/>
          <w:numId w:val="2"/>
        </w:numPr>
        <w:spacing w:before="60" w:after="60" w:line="276"/>
      </w:pPr>
      <w:r>
        <w:rPr>
          <w:rFonts w:ascii="Arial" w:cs="Arial" w:eastAsia="Arial" w:hAnsi="Arial"/>
          <w:color w:val="1e2d3d"/>
          <w:sz w:val="19"/>
          <w:szCs w:val="19"/>
        </w:rPr>
        <w:t xml:space="preserve">Consider whether any MPMs should be discontinued or simplified to reduce note disclosure burden. Rationalise where investor communication value is low.</w:t>
      </w:r>
    </w:p>
    <w:p>
      <w:pPr>
        <w:pStyle w:val="ListParagraph"/>
        <w:numPr>
          <w:ilvl w:val="0"/>
          <w:numId w:val="2"/>
        </w:numPr>
        <w:spacing w:before="60" w:after="60" w:line="276"/>
      </w:pPr>
      <w:r>
        <w:rPr>
          <w:rFonts w:ascii="Arial" w:cs="Arial" w:eastAsia="Arial" w:hAnsi="Arial"/>
          <w:color w:val="1e2d3d"/>
          <w:sz w:val="19"/>
          <w:szCs w:val="19"/>
        </w:rPr>
        <w:t xml:space="preserve">Brief audit committee and board: MPM note is a formal accounting policy decision and the board must approve the approach before first IFRS 18 accounts.</w:t>
      </w:r>
    </w:p>
    <w:p>
      <w:pPr>
        <w:pStyle w:val="ListParagraph"/>
        <w:numPr>
          <w:ilvl w:val="0"/>
          <w:numId w:val="2"/>
        </w:numPr>
        <w:spacing w:before="60" w:after="60" w:line="276"/>
      </w:pPr>
      <w:r>
        <w:rPr>
          <w:rFonts w:ascii="Arial" w:cs="Arial" w:eastAsia="Arial" w:hAnsi="Arial"/>
          <w:color w:val="1e2d3d"/>
          <w:sz w:val="19"/>
          <w:szCs w:val="19"/>
        </w:rPr>
        <w:t xml:space="preserve">Update the prior year comparative MPM disclosures when restating comparatives. Note: in the first year of IFRS 18 adoption, prior period MPM disclosures are not required — only for subsequent years.</w:t>
      </w:r>
    </w:p>
    <w:p>
      <w:pPr>
        <w:spacing w:before="100" w:after="1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80"/>
        <w:gridCol w:w="8946"/>
      </w:tblGrid>
      <w:tr>
        <w:tc>
          <w:tcPr>
            <w:tcW w:type="dxa" w:w="80"/>
            <w:tcBorders>
              <w:top w:val="none" w:color="FFFFFF" w:sz="0"/>
              <w:left w:val="none" w:color="FFFFFF" w:sz="0"/>
              <w:bottom w:val="none" w:color="FFFFFF" w:sz="0"/>
              <w:right w:val="none" w:color="FFFFFF" w:sz="0"/>
            </w:tcBorders>
            <w:shd w:fill="D4830A" w:val="clear"/>
          </w:tcPr>
          <w:p>
            <w:pPr>
              <w:spacing w:before="60" w:after="120" w:line="276"/>
              <w:ind/>
              <w:jc w:val="left"/>
            </w:pPr>
          </w:p>
        </w:tc>
        <w:tc>
          <w:tcPr>
            <w:tcBorders>
              <w:top w:val="none" w:color="FFFFFF" w:sz="0"/>
              <w:left w:val="none" w:color="FFFFFF" w:sz="0"/>
              <w:bottom w:val="none" w:color="FFFFFF" w:sz="0"/>
              <w:right w:val="none" w:color="FFFFFF" w:sz="0"/>
            </w:tcBorders>
            <w:shd w:fill="fdf0d8" w:val="clear"/>
            <w:tcMar>
              <w:top w:type="dxa" w:w="80"/>
              <w:left w:type="dxa" w:w="120"/>
              <w:bottom w:type="dxa" w:w="80"/>
              <w:right w:type="dxa" w:w="120"/>
            </w:tcMar>
          </w:tcPr>
          <w:p>
            <w:pPr>
              <w:spacing w:before="60" w:after="120" w:line="276"/>
              <w:ind/>
              <w:jc w:val="left"/>
            </w:pPr>
            <w:r>
              <w:rPr>
                <w:rFonts w:ascii="Arial" w:cs="Arial" w:eastAsia="Arial" w:hAnsi="Arial"/>
                <w:b w:val="false"/>
                <w:bCs w:val="false"/>
                <w:i w:val="false"/>
                <w:iCs w:val="false"/>
                <w:color w:val="5a6e82"/>
                <w:sz w:val="20"/>
                <w:szCs w:val="20"/>
              </w:rPr>
              <w:t xml:space="preserve">Disclaimer: This guide is for general informational and educational purposes only. It does not constitute professional accounting, audit, or legal advice. IFRS Standards are copyright of the IFRS Foundation. Always refer to the authoritative text of IFRS 18 and seek qualified professional advice before acting on any information in this guide. Abacus Worldwide® is a global association of independent professional firms.</w:t>
            </w:r>
          </w:p>
        </w:tc>
      </w:tr>
    </w:tbl>
    <w:sectPr>
      <w:headerReference w:type="default" r:id="rId6"/>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before="120"/>
      <w:jc w:val="center"/>
    </w:pPr>
    <w:r>
      <w:rPr>
        <w:rFonts w:ascii="Arial" w:cs="Arial" w:eastAsia="Arial" w:hAnsi="Arial"/>
        <w:color w:val="8a9bb0"/>
        <w:sz w:val="14"/>
        <w:szCs w:val="14"/>
      </w:rPr>
      <w:t xml:space="preserve">IFRS 18 — Effective 1 January 2027  ·  For member firm use only  ·  Not professional advice  ·  Page </w:t>
    </w:r>
    <w:r>
      <w:rPr>
        <w:rFonts w:ascii="Arial" w:cs="Arial" w:eastAsia="Arial" w:hAnsi="Arial"/>
        <w:color w:val="8a9bb0"/>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Borders>
            <w:top w:val="none" w:color="FFFFFF" w:sz="0"/>
            <w:left w:val="none" w:color="FFFFFF" w:sz="0"/>
            <w:bottom w:val="none" w:color="FFFFFF" w:sz="0"/>
            <w:right w:val="none" w:color="FFFFFF" w:sz="0"/>
          </w:tcBorders>
          <w:shd w:fill="243448" w:val="clear"/>
          <w:tcMar>
            <w:top w:type="dxa" w:w="60"/>
            <w:left w:type="dxa" w:w="120"/>
            <w:bottom w:type="dxa" w:w="60"/>
            <w:right w:type="dxa" w:w="120"/>
          </w:tcMar>
        </w:tcPr>
        <w:p>
          <w:r>
            <w:rPr>
              <w:rFonts w:ascii="Arial" w:cs="Arial" w:eastAsia="Arial" w:hAnsi="Arial"/>
              <w:color w:val="aec6d8"/>
              <w:sz w:val="14"/>
              <w:szCs w:val="14"/>
            </w:rPr>
            <w:t xml:space="preserve">ABACUS WORLDWIDE® · MEMBER RESOURCE · IFRS 18 Hub</w:t>
          </w:r>
        </w:p>
      </w:tc>
      <w:tc>
        <w:tcPr>
          <w:tcBorders>
            <w:top w:val="none" w:color="FFFFFF" w:sz="0"/>
            <w:left w:val="none" w:color="FFFFFF" w:sz="0"/>
            <w:bottom w:val="none" w:color="FFFFFF" w:sz="0"/>
            <w:right w:val="none" w:color="FFFFFF" w:sz="0"/>
          </w:tcBorders>
          <w:shd w:fill="243448" w:val="clear"/>
          <w:tcMar>
            <w:top w:type="dxa" w:w="60"/>
            <w:left w:type="dxa" w:w="120"/>
            <w:bottom w:type="dxa" w:w="60"/>
            <w:right w:type="dxa" w:w="120"/>
          </w:tcMar>
        </w:tcPr>
        <w:p>
          <w:pPr>
            <w:jc w:val="right"/>
          </w:pPr>
          <w:r>
            <w:rPr>
              <w:rFonts w:ascii="Arial" w:cs="Arial" w:eastAsia="Arial" w:hAnsi="Arial"/>
              <w:color w:val="aec6d8"/>
              <w:sz w:val="14"/>
              <w:szCs w:val="14"/>
            </w:rPr>
            <w:t xml:space="preserve">MPM Identification &amp; Disclosure Guide</w:t>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pBdr>
        <w:bottom w:val="single" w:color="1a6fa8" w:sz="4" w:space="1"/>
      </w:pBdr>
      <w:spacing w:before="300" w:after="120"/>
      <w:outlineLvl w:val="0"/>
    </w:pPr>
    <w:rPr>
      <w:rFonts w:ascii="Arial" w:cs="Arial" w:eastAsia="Arial" w:hAnsi="Arial"/>
      <w:b/>
      <w:bCs/>
      <w:color w:val="1a6fa8"/>
      <w:sz w:val="32"/>
      <w:szCs w:val="32"/>
    </w:rPr>
  </w:style>
  <w:style w:type="paragraph" w:styleId="Heading2">
    <w:name w:val="Heading 2"/>
    <w:basedOn w:val="Normal"/>
    <w:next w:val="Normal"/>
    <w:qFormat/>
    <w:pPr>
      <w:spacing w:before="200" w:after="80"/>
      <w:outlineLvl w:val="1"/>
    </w:pPr>
    <w:rPr>
      <w:rFonts w:ascii="Arial" w:cs="Arial" w:eastAsia="Arial" w:hAnsi="Arial"/>
      <w:b/>
      <w:bCs/>
      <w:color w:val="32485e"/>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2026-03-23T22:51:29.350Z</dcterms:created>
  <dcterms:modified xsi:type="dcterms:W3CDTF">2026-03-23T22:51:29.351Z</dcterms:modified>
</cp:coreProperties>
</file>

<file path=docProps/custom.xml><?xml version="1.0" encoding="utf-8"?>
<Properties xmlns="http://schemas.openxmlformats.org/officeDocument/2006/custom-properties" xmlns:vt="http://schemas.openxmlformats.org/officeDocument/2006/docPropsVTypes"/>
</file>